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bCs w:val="0"/>
          <w:color w:val="000000"/>
          <w:sz w:val="36"/>
          <w:szCs w:val="36"/>
          <w:lang w:val="en-US" w:eastAsia="zh-CN"/>
        </w:rPr>
        <w:t>荧光相对强度和荧光量子效率测量装置校准规范</w:t>
      </w:r>
    </w:p>
    <w:p>
      <w:pPr>
        <w:spacing w:line="360" w:lineRule="auto"/>
        <w:jc w:val="center"/>
        <w:rPr>
          <w:rFonts w:hint="default"/>
          <w:sz w:val="24"/>
          <w:szCs w:val="24"/>
          <w:highlight w:val="none"/>
          <w:lang w:val="en-US"/>
        </w:rPr>
      </w:pPr>
      <w:r>
        <w:rPr>
          <w:rFonts w:hint="eastAsia" w:ascii="黑体" w:eastAsia="黑体"/>
          <w:b/>
          <w:bCs w:val="0"/>
          <w:color w:val="000000"/>
          <w:sz w:val="36"/>
          <w:szCs w:val="36"/>
          <w:lang w:val="en-US" w:eastAsia="zh-CN"/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一、任务来源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根据2021年国家计量技术法规制修订计划立项，由中国计量科学研究院承担《荧光相对强度和荧光量子效率测量装置校准规范》的制定工作。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二、制定的意义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荧光材料在照明、显示、传感器和荧光标记等领域具有广泛应用。荧光光谱广泛用于荧光材料的定性和定量分析。荧光量子效率是荧光材料发射的光子数与吸收的光子数之比，是评价荧光材料发光性能非常关键的参数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目前关</w:t>
      </w:r>
      <w:r>
        <w:rPr>
          <w:rFonts w:hint="eastAsia"/>
          <w:sz w:val="24"/>
          <w:highlight w:val="none"/>
          <w:lang w:val="en-US" w:eastAsia="zh-CN"/>
        </w:rPr>
        <w:t>于荧光光谱仪和荧光量子效率测量装置的技术规范和标准有：</w:t>
      </w:r>
      <w:r>
        <w:rPr>
          <w:rFonts w:hint="eastAsia"/>
          <w:sz w:val="24"/>
          <w:highlight w:val="none"/>
        </w:rPr>
        <w:t xml:space="preserve">JJG 537-2006 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荧光分光光度计</w:t>
      </w:r>
      <w:r>
        <w:rPr>
          <w:rFonts w:hint="eastAsia"/>
          <w:sz w:val="24"/>
          <w:highlight w:val="none"/>
          <w:lang w:eastAsia="zh-CN"/>
        </w:rPr>
        <w:t>》</w:t>
      </w:r>
      <w:r>
        <w:rPr>
          <w:rFonts w:hint="eastAsia"/>
          <w:sz w:val="24"/>
          <w:highlight w:val="none"/>
          <w:lang w:val="en-US" w:eastAsia="zh-CN"/>
        </w:rPr>
        <w:t>和</w:t>
      </w:r>
      <w:r>
        <w:rPr>
          <w:rFonts w:hint="eastAsia"/>
          <w:sz w:val="24"/>
          <w:highlight w:val="none"/>
        </w:rPr>
        <w:t xml:space="preserve">GB/T 37664.1-2019 </w:t>
      </w:r>
      <w:r>
        <w:rPr>
          <w:rFonts w:hint="eastAsia"/>
          <w:sz w:val="24"/>
          <w:highlight w:val="none"/>
          <w:lang w:eastAsia="zh-CN"/>
        </w:rPr>
        <w:t>《</w:t>
      </w:r>
      <w:r>
        <w:rPr>
          <w:rFonts w:hint="eastAsia"/>
          <w:sz w:val="24"/>
          <w:highlight w:val="none"/>
        </w:rPr>
        <w:t>纳米制造 关键控制特性 发光纳米材料 第1部分：量子效率</w:t>
      </w:r>
      <w:r>
        <w:rPr>
          <w:rFonts w:hint="eastAsia"/>
          <w:sz w:val="24"/>
          <w:highlight w:val="none"/>
          <w:lang w:eastAsia="zh-CN"/>
        </w:rPr>
        <w:t>》，</w:t>
      </w:r>
      <w:r>
        <w:rPr>
          <w:rFonts w:hint="eastAsia"/>
          <w:sz w:val="24"/>
          <w:highlight w:val="none"/>
          <w:lang w:val="en-US" w:eastAsia="zh-CN"/>
        </w:rPr>
        <w:t>但是</w:t>
      </w:r>
      <w:r>
        <w:rPr>
          <w:rFonts w:hint="eastAsia"/>
          <w:sz w:val="24"/>
          <w:szCs w:val="24"/>
          <w:lang w:val="en-US" w:eastAsia="zh-CN"/>
        </w:rPr>
        <w:t>计量特性不全面，特别是荧光相对强度的校准方面操作性比较差，影响荧光光谱和荧光量子效率的准确测量。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本校准规范的制定将为光电显示、荧光标记等领域提供技术支撑，为荧光光谱和荧光量子效率的准确测量提供技术保障，为在全国范围内建立量传溯源体系提供依据。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三、编写格式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编写格式按照JJF 1071-2010《国家计量校准规范》中的相关要求进行编写。</w:t>
      </w:r>
    </w:p>
    <w:p>
      <w:pPr>
        <w:spacing w:line="360" w:lineRule="auto"/>
        <w:rPr>
          <w:rFonts w:hint="default" w:eastAsia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四、编写过程</w:t>
      </w:r>
    </w:p>
    <w:p>
      <w:pPr>
        <w:spacing w:line="360" w:lineRule="auto"/>
        <w:ind w:firstLine="480" w:firstLineChars="200"/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2021年7月下达《2021年国家计量技术规范制定、修订及宣贯计划》的通知。</w:t>
      </w:r>
    </w:p>
    <w:p>
      <w:pPr>
        <w:spacing w:line="360" w:lineRule="auto"/>
        <w:ind w:firstLine="480" w:firstLineChars="200"/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2021年8月-9月，通过调研确定校准规范中的计量特性，做到科学合理。</w:t>
      </w:r>
    </w:p>
    <w:p>
      <w:pPr>
        <w:spacing w:line="360" w:lineRule="auto"/>
        <w:ind w:firstLine="480" w:firstLineChars="200"/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2021年10月-12月，通过调研确定针对计量特性的校准条件和校准方法，并进行相关校准实验。</w:t>
      </w:r>
    </w:p>
    <w:p>
      <w:pPr>
        <w:spacing w:line="360" w:lineRule="auto"/>
        <w:ind w:firstLine="480" w:firstLineChars="200"/>
        <w:rPr>
          <w:rFonts w:hint="default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2022年1月-3月，</w:t>
      </w:r>
      <w:r>
        <w:rPr>
          <w:rFonts w:hint="eastAsia"/>
          <w:sz w:val="24"/>
          <w:szCs w:val="24"/>
          <w:lang w:val="en-US" w:eastAsia="zh-CN"/>
        </w:rPr>
        <w:t>进一步进行校准方法的实验，完善校准方法。</w:t>
      </w:r>
    </w:p>
    <w:p>
      <w:pPr>
        <w:spacing w:line="360" w:lineRule="auto"/>
        <w:ind w:firstLine="480" w:firstLineChars="200"/>
        <w:rPr>
          <w:rFonts w:hint="default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2022年4月-6月，</w:t>
      </w:r>
      <w:r>
        <w:rPr>
          <w:rFonts w:hint="eastAsia"/>
          <w:sz w:val="24"/>
          <w:szCs w:val="24"/>
          <w:lang w:val="en-US" w:eastAsia="zh-CN"/>
        </w:rPr>
        <w:t>校准规范草稿的编写，进行不确定度评定。</w:t>
      </w:r>
    </w:p>
    <w:p>
      <w:pPr>
        <w:spacing w:line="360" w:lineRule="auto"/>
        <w:ind w:firstLine="480" w:firstLineChars="200"/>
        <w:rPr>
          <w:rFonts w:hint="default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2022年7月-8月，</w:t>
      </w:r>
      <w:r>
        <w:rPr>
          <w:rFonts w:hint="eastAsia"/>
          <w:sz w:val="24"/>
          <w:szCs w:val="24"/>
          <w:lang w:val="en-US" w:eastAsia="zh-CN"/>
        </w:rPr>
        <w:t>校准规范草稿的修改和完善，完成实验报告、不确定度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评定报告和编制说明。</w:t>
      </w:r>
    </w:p>
    <w:p>
      <w:pPr>
        <w:spacing w:line="360" w:lineRule="auto"/>
        <w:rPr>
          <w:rFonts w:hint="default" w:eastAsia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五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、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制定的依据</w:t>
      </w:r>
    </w:p>
    <w:p>
      <w:pPr>
        <w:spacing w:line="360" w:lineRule="auto"/>
        <w:ind w:firstLine="480"/>
        <w:rPr>
          <w:rFonts w:hint="eastAsia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JJF 1071</w:t>
      </w:r>
      <w:r>
        <w:rPr>
          <w:rFonts w:hint="eastAsia"/>
          <w:sz w:val="24"/>
          <w:szCs w:val="24"/>
          <w:highlight w:val="none"/>
        </w:rPr>
        <w:t xml:space="preserve">-2010 </w:t>
      </w:r>
      <w:r>
        <w:rPr>
          <w:rFonts w:hint="eastAsia"/>
          <w:bCs/>
          <w:sz w:val="24"/>
          <w:highlight w:val="none"/>
        </w:rPr>
        <w:t>国家计量校准规范编写规则</w:t>
      </w:r>
    </w:p>
    <w:p>
      <w:pPr>
        <w:spacing w:line="360" w:lineRule="auto"/>
        <w:ind w:firstLine="480"/>
        <w:rPr>
          <w:rFonts w:hint="eastAsia"/>
          <w:bCs/>
          <w:sz w:val="24"/>
          <w:highlight w:val="none"/>
        </w:rPr>
      </w:pPr>
      <w:r>
        <w:rPr>
          <w:sz w:val="24"/>
        </w:rPr>
        <w:t>JJF</w:t>
      </w:r>
      <w:r>
        <w:rPr>
          <w:rFonts w:hint="eastAsia"/>
          <w:sz w:val="24"/>
        </w:rPr>
        <w:t xml:space="preserve"> </w:t>
      </w:r>
      <w:r>
        <w:rPr>
          <w:sz w:val="24"/>
        </w:rPr>
        <w:t>1001</w:t>
      </w:r>
      <w:r>
        <w:rPr>
          <w:rFonts w:hint="eastAsia"/>
          <w:sz w:val="24"/>
          <w:lang w:val="en-US" w:eastAsia="zh-CN"/>
        </w:rPr>
        <w:t xml:space="preserve">-2011 </w:t>
      </w:r>
      <w:r>
        <w:rPr>
          <w:sz w:val="24"/>
        </w:rPr>
        <w:t>通用计量术语及定义</w:t>
      </w:r>
    </w:p>
    <w:p>
      <w:pPr>
        <w:spacing w:line="360" w:lineRule="auto"/>
        <w:ind w:firstLine="48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JJF 1059.1</w:t>
      </w:r>
      <w:r>
        <w:rPr>
          <w:rFonts w:hint="eastAsia" w:hAnsi="宋体"/>
          <w:color w:val="000000"/>
          <w:sz w:val="24"/>
          <w:lang w:val="en-US" w:eastAsia="zh-CN"/>
        </w:rPr>
        <w:t xml:space="preserve">-2012 </w:t>
      </w:r>
      <w:r>
        <w:rPr>
          <w:rFonts w:hAnsi="宋体"/>
          <w:color w:val="000000"/>
          <w:sz w:val="24"/>
        </w:rPr>
        <w:t>测量不确定度评定与表示</w:t>
      </w:r>
    </w:p>
    <w:p>
      <w:pPr>
        <w:spacing w:line="360" w:lineRule="auto"/>
        <w:ind w:firstLine="48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JJF 1094</w:t>
      </w:r>
      <w:r>
        <w:rPr>
          <w:rFonts w:hint="eastAsia" w:hAnsi="宋体"/>
          <w:color w:val="000000"/>
          <w:sz w:val="24"/>
          <w:lang w:val="en-US" w:eastAsia="zh-CN"/>
        </w:rPr>
        <w:t xml:space="preserve">-2002 </w:t>
      </w:r>
      <w:r>
        <w:rPr>
          <w:rFonts w:hAnsi="宋体"/>
          <w:color w:val="000000"/>
          <w:sz w:val="24"/>
        </w:rPr>
        <w:t>测量仪器特性评定</w:t>
      </w:r>
    </w:p>
    <w:p>
      <w:pPr>
        <w:spacing w:line="360" w:lineRule="auto"/>
        <w:ind w:firstLine="48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JJG 537-2006 荧光分光光度计</w:t>
      </w:r>
    </w:p>
    <w:p>
      <w:pPr>
        <w:spacing w:line="360" w:lineRule="auto"/>
        <w:ind w:firstLine="480"/>
        <w:rPr>
          <w:bCs/>
          <w:sz w:val="24"/>
          <w:highlight w:val="none"/>
        </w:rPr>
      </w:pPr>
      <w:r>
        <w:rPr>
          <w:rFonts w:hint="eastAsia"/>
          <w:sz w:val="24"/>
          <w:highlight w:val="none"/>
        </w:rPr>
        <w:t>GB/T 37664.1-2019 纳米制造 关键控制特性 发光纳米材料 第1部分：量子效率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六、规范的主要内容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关于范围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本规范适用于荧光光谱仪和荧光量子效率测量装置的校准。</w:t>
      </w:r>
    </w:p>
    <w:p>
      <w:pPr>
        <w:numPr>
          <w:ilvl w:val="0"/>
          <w:numId w:val="1"/>
        </w:numPr>
        <w:spacing w:line="360" w:lineRule="auto"/>
        <w:rPr>
          <w:rFonts w:hint="default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关于计量特性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 xml:space="preserve">   计量特性包括：发射侧波长重复性、激发侧波长重复性、荧光相对强度校准曲线、荧光相对强度重复性、荧光量子效率测量重复性。</w:t>
      </w:r>
    </w:p>
    <w:p>
      <w:pPr>
        <w:numPr>
          <w:ilvl w:val="0"/>
          <w:numId w:val="1"/>
        </w:numPr>
        <w:spacing w:line="360" w:lineRule="auto"/>
        <w:rPr>
          <w:rFonts w:hint="default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关于校准条件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 xml:space="preserve">   包括</w:t>
      </w:r>
      <w:r>
        <w:rPr>
          <w:rFonts w:hint="eastAsia"/>
          <w:sz w:val="24"/>
          <w:szCs w:val="24"/>
          <w:highlight w:val="none"/>
        </w:rPr>
        <w:t>校准环境条件</w:t>
      </w:r>
      <w:r>
        <w:rPr>
          <w:rFonts w:hint="eastAsia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/>
          <w:sz w:val="24"/>
          <w:szCs w:val="24"/>
          <w:highlight w:val="none"/>
        </w:rPr>
        <w:t>校准用标准器和其他设备</w:t>
      </w:r>
      <w:r>
        <w:rPr>
          <w:rFonts w:hint="eastAsia" w:ascii="宋体"/>
          <w:sz w:val="24"/>
          <w:szCs w:val="24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default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关于校准方法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校准前准备</w:t>
      </w:r>
      <w:r>
        <w:rPr>
          <w:rFonts w:hint="eastAsia"/>
          <w:sz w:val="24"/>
          <w:highlight w:val="none"/>
          <w:lang w:val="en-US" w:eastAsia="zh-CN"/>
        </w:rPr>
        <w:t>需要将标准器进行预热。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首先</w:t>
      </w:r>
      <w:r>
        <w:rPr>
          <w:rFonts w:hint="eastAsia"/>
          <w:sz w:val="24"/>
          <w:highlight w:val="none"/>
          <w:lang w:val="en-US" w:eastAsia="zh-CN"/>
        </w:rPr>
        <w:t>采用标准汞氩灯对</w:t>
      </w:r>
      <w:r>
        <w:rPr>
          <w:rFonts w:hint="eastAsia"/>
          <w:sz w:val="24"/>
          <w:highlight w:val="none"/>
        </w:rPr>
        <w:t>发射侧单色器波长</w:t>
      </w:r>
      <w:r>
        <w:rPr>
          <w:rFonts w:hint="eastAsia"/>
          <w:sz w:val="24"/>
          <w:highlight w:val="none"/>
          <w:lang w:val="en-US" w:eastAsia="zh-CN"/>
        </w:rPr>
        <w:t>进行</w:t>
      </w:r>
      <w:r>
        <w:rPr>
          <w:rFonts w:hint="eastAsia"/>
          <w:sz w:val="24"/>
          <w:highlight w:val="none"/>
        </w:rPr>
        <w:t>校准，</w:t>
      </w:r>
      <w:r>
        <w:rPr>
          <w:rFonts w:hint="eastAsia"/>
          <w:sz w:val="24"/>
          <w:highlight w:val="none"/>
          <w:lang w:val="en-US" w:eastAsia="zh-CN"/>
        </w:rPr>
        <w:t>再</w:t>
      </w:r>
      <w:r>
        <w:rPr>
          <w:rFonts w:hint="eastAsia"/>
          <w:sz w:val="24"/>
          <w:szCs w:val="24"/>
        </w:rPr>
        <w:t>采用校准后的发射单元采集</w:t>
      </w:r>
      <w:r>
        <w:rPr>
          <w:rFonts w:hint="eastAsia"/>
          <w:sz w:val="24"/>
          <w:szCs w:val="24"/>
          <w:lang w:val="en-US" w:eastAsia="zh-CN"/>
        </w:rPr>
        <w:t>氙灯特征峰对激发侧单色器波长</w:t>
      </w:r>
      <w:r>
        <w:rPr>
          <w:rFonts w:hint="eastAsia"/>
          <w:sz w:val="24"/>
          <w:szCs w:val="24"/>
        </w:rPr>
        <w:t>进行校准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highlight w:val="none"/>
          <w:lang w:val="en-US" w:eastAsia="zh-CN"/>
        </w:rPr>
        <w:t>发射侧波长重复性和激发侧波长重复性通过标准偏差进行计算。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采用溯源到国家光谱辐射照度基准、相对光谱辐射照度已知的相对光谱辐射照度标准器（氘灯、带积分球的卤钨灯）进行荧光相对强度校准，获得荧光相对强度校准曲线。荧光相对强度重复性通过相对标准偏差进行计算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荧光量子效率测量重复性通过相对标准偏差进行计算。</w:t>
      </w:r>
    </w:p>
    <w:p>
      <w:pPr>
        <w:numPr>
          <w:ilvl w:val="0"/>
          <w:numId w:val="1"/>
        </w:numPr>
        <w:spacing w:line="360" w:lineRule="auto"/>
        <w:rPr>
          <w:rFonts w:hint="default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关于附录的设置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附录包括三项：</w:t>
      </w:r>
    </w:p>
    <w:p>
      <w:pPr>
        <w:pStyle w:val="2"/>
        <w:tabs>
          <w:tab w:val="right" w:leader="dot" w:pos="8844"/>
          <w:tab w:val="clear" w:pos="8834"/>
        </w:tabs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_Toc11311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附录A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_Toc12424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  <w:lang w:val="en-US" w:eastAsia="zh-CN"/>
        </w:rPr>
        <w:t>校准结果的不确定度评定示例</w:t>
      </w:r>
      <w:r>
        <w:rPr>
          <w:sz w:val="24"/>
          <w:szCs w:val="24"/>
        </w:rPr>
        <w:fldChar w:fldCharType="end"/>
      </w:r>
    </w:p>
    <w:p>
      <w:pPr>
        <w:pStyle w:val="2"/>
        <w:tabs>
          <w:tab w:val="right" w:leader="dot" w:pos="8844"/>
          <w:tab w:val="clear" w:pos="8834"/>
        </w:tabs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_Toc13168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附录B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_Toc20495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校准记录格式</w:t>
      </w:r>
      <w:r>
        <w:rPr>
          <w:sz w:val="24"/>
          <w:szCs w:val="24"/>
        </w:rPr>
        <w:fldChar w:fldCharType="end"/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/>
          <w:sz w:val="24"/>
          <w:highlight w:val="none"/>
          <w:lang w:val="en-US" w:eastAsia="zh-CN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_Toc19104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附录C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_Toc26701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校准证书（内页）格式</w:t>
      </w:r>
      <w:r>
        <w:rPr>
          <w:sz w:val="24"/>
          <w:szCs w:val="24"/>
        </w:rPr>
        <w:fldChar w:fldCharType="end"/>
      </w:r>
    </w:p>
    <w:p>
      <w:pPr>
        <w:numPr>
          <w:ilvl w:val="0"/>
          <w:numId w:val="0"/>
        </w:numPr>
        <w:spacing w:line="360" w:lineRule="auto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highlight w:val="non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highlight w:val="none"/>
          <w:lang w:val="en-US" w:eastAsia="zh-CN"/>
        </w:rPr>
      </w:pPr>
    </w:p>
    <w:p>
      <w:pPr>
        <w:rPr>
          <w:rFonts w:hint="eastAsia"/>
          <w:sz w:val="24"/>
          <w:highlight w:val="none"/>
        </w:rPr>
      </w:pPr>
    </w:p>
    <w:p>
      <w:pPr>
        <w:ind w:firstLine="720" w:firstLineChars="300"/>
        <w:rPr>
          <w:rFonts w:hint="eastAsia"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DBE09"/>
    <w:multiLevelType w:val="singleLevel"/>
    <w:tmpl w:val="480DBE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MDA3MmIyYjljYTEyZDI5ZjBmZjFkZGFhODdiMjYifQ=="/>
  </w:docVars>
  <w:rsids>
    <w:rsidRoot w:val="00000000"/>
    <w:rsid w:val="034A5312"/>
    <w:rsid w:val="03647119"/>
    <w:rsid w:val="0438160E"/>
    <w:rsid w:val="06F51A39"/>
    <w:rsid w:val="0749370E"/>
    <w:rsid w:val="087415D0"/>
    <w:rsid w:val="0A6D7B38"/>
    <w:rsid w:val="0AEE2530"/>
    <w:rsid w:val="0B4526F0"/>
    <w:rsid w:val="0B846A84"/>
    <w:rsid w:val="0BFC5C4D"/>
    <w:rsid w:val="0C931AD8"/>
    <w:rsid w:val="0CA217EA"/>
    <w:rsid w:val="10512C80"/>
    <w:rsid w:val="123B265F"/>
    <w:rsid w:val="13EC2222"/>
    <w:rsid w:val="17932320"/>
    <w:rsid w:val="18B06F86"/>
    <w:rsid w:val="1A6B3F22"/>
    <w:rsid w:val="1FFD1C9B"/>
    <w:rsid w:val="250E7771"/>
    <w:rsid w:val="27840543"/>
    <w:rsid w:val="28BE630C"/>
    <w:rsid w:val="2A4425E4"/>
    <w:rsid w:val="2A6F5B10"/>
    <w:rsid w:val="2B0005C1"/>
    <w:rsid w:val="2CD63C1A"/>
    <w:rsid w:val="2F9D601C"/>
    <w:rsid w:val="384004B6"/>
    <w:rsid w:val="395A0580"/>
    <w:rsid w:val="3AA50B99"/>
    <w:rsid w:val="3B4C6D41"/>
    <w:rsid w:val="3B8A1470"/>
    <w:rsid w:val="3C2228BC"/>
    <w:rsid w:val="3EC551B7"/>
    <w:rsid w:val="3FCE4C2F"/>
    <w:rsid w:val="40AD635E"/>
    <w:rsid w:val="411B15BA"/>
    <w:rsid w:val="415B010F"/>
    <w:rsid w:val="462A2151"/>
    <w:rsid w:val="47947ED7"/>
    <w:rsid w:val="493A78FE"/>
    <w:rsid w:val="495A5150"/>
    <w:rsid w:val="4A5D7615"/>
    <w:rsid w:val="4C43426F"/>
    <w:rsid w:val="50F8401E"/>
    <w:rsid w:val="52042732"/>
    <w:rsid w:val="53100598"/>
    <w:rsid w:val="53990C22"/>
    <w:rsid w:val="54E41CEF"/>
    <w:rsid w:val="5A9E3242"/>
    <w:rsid w:val="5B324BCF"/>
    <w:rsid w:val="5D5800B9"/>
    <w:rsid w:val="5E2F405E"/>
    <w:rsid w:val="5E455888"/>
    <w:rsid w:val="60481596"/>
    <w:rsid w:val="615E7248"/>
    <w:rsid w:val="61F07FA8"/>
    <w:rsid w:val="64B10575"/>
    <w:rsid w:val="66456B14"/>
    <w:rsid w:val="68A21841"/>
    <w:rsid w:val="6A1F1FCE"/>
    <w:rsid w:val="6C8D35F8"/>
    <w:rsid w:val="6E6C7053"/>
    <w:rsid w:val="6F0B5C80"/>
    <w:rsid w:val="70647B8D"/>
    <w:rsid w:val="721A47FB"/>
    <w:rsid w:val="73AA26AC"/>
    <w:rsid w:val="759E3B4B"/>
    <w:rsid w:val="76982C90"/>
    <w:rsid w:val="778F195E"/>
    <w:rsid w:val="7B5436C8"/>
    <w:rsid w:val="7BEB5B0A"/>
    <w:rsid w:val="7CBE34ED"/>
    <w:rsid w:val="7EAD18D8"/>
    <w:rsid w:val="7EC547EC"/>
    <w:rsid w:val="7F5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8834"/>
      </w:tabs>
      <w:spacing w:line="360" w:lineRule="auto"/>
    </w:pPr>
  </w:style>
  <w:style w:type="character" w:customStyle="1" w:styleId="5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1129</Words>
  <Characters>1258</Characters>
  <Lines>0</Lines>
  <Paragraphs>0</Paragraphs>
  <TotalTime>4</TotalTime>
  <ScaleCrop>false</ScaleCrop>
  <LinksUpToDate>false</LinksUpToDate>
  <CharactersWithSpaces>1290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2022-11-06T15:29:00Z</dcterms:created>
  <dc:creator>jzl</dc:creator>
  <cp:lastModifiedBy>jiazl</cp:lastModifiedBy>
  <dcterms:modified xsi:type="dcterms:W3CDTF">2022-11-08T02:31:57Z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B40BBA61717346508B733E590A912A6C</vt:lpwstr>
  </property>
</Properties>
</file>