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0C4" w:rsidRDefault="008A30C4">
      <w:pPr>
        <w:jc w:val="center"/>
        <w:rPr>
          <w:rFonts w:ascii="宋体" w:hAnsi="宋体" w:cs="宋体"/>
          <w:sz w:val="52"/>
        </w:rPr>
      </w:pPr>
    </w:p>
    <w:p w:rsidR="008A30C4" w:rsidRDefault="008A30C4">
      <w:pPr>
        <w:jc w:val="center"/>
        <w:rPr>
          <w:rFonts w:ascii="宋体" w:hAnsi="宋体" w:cs="宋体"/>
          <w:b/>
          <w:sz w:val="44"/>
          <w:szCs w:val="44"/>
        </w:rPr>
      </w:pPr>
    </w:p>
    <w:p w:rsidR="008A30C4" w:rsidRDefault="008A30C4">
      <w:pPr>
        <w:jc w:val="center"/>
        <w:rPr>
          <w:rFonts w:ascii="宋体" w:hAnsi="宋体" w:cs="宋体"/>
          <w:b/>
          <w:sz w:val="44"/>
          <w:szCs w:val="44"/>
        </w:rPr>
      </w:pPr>
    </w:p>
    <w:p w:rsidR="008A30C4" w:rsidRDefault="00F14256">
      <w:pPr>
        <w:jc w:val="center"/>
        <w:rPr>
          <w:rFonts w:ascii="宋体" w:hAnsi="宋体" w:cs="宋体"/>
          <w:b/>
          <w:sz w:val="44"/>
          <w:szCs w:val="44"/>
        </w:rPr>
      </w:pPr>
      <w:r>
        <w:rPr>
          <w:rFonts w:ascii="宋体" w:hAnsi="宋体" w:cs="宋体" w:hint="eastAsia"/>
          <w:b/>
          <w:sz w:val="44"/>
          <w:szCs w:val="44"/>
        </w:rPr>
        <w:t>汽车排气污染物检测用底盘测功机</w:t>
      </w:r>
    </w:p>
    <w:p w:rsidR="008A30C4" w:rsidRDefault="008A30C4">
      <w:pPr>
        <w:jc w:val="center"/>
        <w:rPr>
          <w:rFonts w:ascii="宋体" w:hAnsi="宋体" w:cs="宋体"/>
          <w:b/>
          <w:sz w:val="44"/>
          <w:szCs w:val="44"/>
        </w:rPr>
      </w:pPr>
    </w:p>
    <w:p w:rsidR="008A30C4" w:rsidRDefault="00F14256">
      <w:pPr>
        <w:jc w:val="center"/>
        <w:rPr>
          <w:rFonts w:ascii="宋体" w:hAnsi="宋体" w:cs="宋体"/>
          <w:b/>
          <w:sz w:val="44"/>
          <w:szCs w:val="44"/>
        </w:rPr>
      </w:pPr>
      <w:r>
        <w:rPr>
          <w:rFonts w:ascii="宋体" w:hAnsi="宋体" w:cs="宋体" w:hint="eastAsia"/>
          <w:b/>
          <w:sz w:val="44"/>
          <w:szCs w:val="44"/>
        </w:rPr>
        <w:t>校准规范编制说明</w:t>
      </w:r>
    </w:p>
    <w:p w:rsidR="008A30C4" w:rsidRDefault="008A30C4">
      <w:pPr>
        <w:jc w:val="center"/>
        <w:rPr>
          <w:rFonts w:ascii="宋体" w:hAnsi="宋体" w:cs="宋体"/>
          <w:sz w:val="28"/>
        </w:rPr>
      </w:pPr>
    </w:p>
    <w:p w:rsidR="008A30C4" w:rsidRDefault="008A30C4">
      <w:pPr>
        <w:jc w:val="center"/>
        <w:rPr>
          <w:rFonts w:ascii="宋体" w:hAnsi="宋体" w:cs="宋体"/>
          <w:sz w:val="28"/>
        </w:rPr>
      </w:pPr>
    </w:p>
    <w:p w:rsidR="008A30C4" w:rsidRDefault="008A30C4">
      <w:pPr>
        <w:jc w:val="center"/>
        <w:rPr>
          <w:rFonts w:ascii="宋体" w:hAnsi="宋体" w:cs="宋体"/>
          <w:sz w:val="28"/>
        </w:rPr>
      </w:pPr>
    </w:p>
    <w:p w:rsidR="008A30C4" w:rsidRDefault="008A30C4">
      <w:pPr>
        <w:jc w:val="center"/>
        <w:rPr>
          <w:rFonts w:ascii="宋体" w:hAnsi="宋体" w:cs="宋体"/>
          <w:sz w:val="28"/>
        </w:rPr>
      </w:pPr>
    </w:p>
    <w:p w:rsidR="008A30C4" w:rsidRDefault="008A30C4">
      <w:pPr>
        <w:jc w:val="center"/>
        <w:rPr>
          <w:rFonts w:ascii="宋体" w:hAnsi="宋体" w:cs="宋体"/>
          <w:sz w:val="28"/>
        </w:rPr>
      </w:pPr>
    </w:p>
    <w:p w:rsidR="008A30C4" w:rsidRDefault="008A30C4">
      <w:pPr>
        <w:jc w:val="center"/>
        <w:rPr>
          <w:rFonts w:ascii="宋体" w:hAnsi="宋体" w:cs="宋体"/>
          <w:sz w:val="28"/>
        </w:rPr>
      </w:pPr>
    </w:p>
    <w:p w:rsidR="008A30C4" w:rsidRDefault="008A30C4">
      <w:pPr>
        <w:jc w:val="center"/>
        <w:rPr>
          <w:rFonts w:ascii="宋体" w:hAnsi="宋体" w:cs="宋体"/>
          <w:sz w:val="28"/>
        </w:rPr>
      </w:pPr>
    </w:p>
    <w:p w:rsidR="008A30C4" w:rsidRDefault="008A30C4">
      <w:pPr>
        <w:jc w:val="center"/>
        <w:rPr>
          <w:rFonts w:ascii="宋体" w:hAnsi="宋体" w:cs="宋体"/>
          <w:sz w:val="28"/>
        </w:rPr>
      </w:pPr>
    </w:p>
    <w:p w:rsidR="008A30C4" w:rsidRDefault="008A30C4">
      <w:pPr>
        <w:jc w:val="center"/>
        <w:rPr>
          <w:rFonts w:ascii="宋体" w:hAnsi="宋体" w:cs="宋体"/>
          <w:sz w:val="28"/>
        </w:rPr>
      </w:pPr>
    </w:p>
    <w:p w:rsidR="008A30C4" w:rsidRDefault="008A30C4">
      <w:pPr>
        <w:jc w:val="center"/>
        <w:rPr>
          <w:rFonts w:ascii="宋体" w:hAnsi="宋体" w:cs="宋体"/>
          <w:sz w:val="28"/>
        </w:rPr>
      </w:pPr>
    </w:p>
    <w:p w:rsidR="008A30C4" w:rsidRDefault="00F14256">
      <w:pPr>
        <w:jc w:val="center"/>
        <w:rPr>
          <w:rFonts w:ascii="宋体" w:hAnsi="宋体" w:cs="宋体"/>
          <w:sz w:val="36"/>
          <w:szCs w:val="36"/>
        </w:rPr>
      </w:pPr>
      <w:r>
        <w:rPr>
          <w:rFonts w:ascii="宋体" w:hAnsi="宋体" w:cs="宋体" w:hint="eastAsia"/>
          <w:sz w:val="36"/>
          <w:szCs w:val="36"/>
        </w:rPr>
        <w:t>河南省计量科学研究院</w:t>
      </w:r>
    </w:p>
    <w:p w:rsidR="008A30C4" w:rsidRDefault="00F14256">
      <w:pPr>
        <w:jc w:val="center"/>
        <w:rPr>
          <w:rFonts w:ascii="宋体" w:hAnsi="宋体" w:cs="宋体"/>
          <w:sz w:val="32"/>
          <w:szCs w:val="32"/>
        </w:rPr>
      </w:pPr>
      <w:r>
        <w:rPr>
          <w:rFonts w:ascii="宋体" w:hAnsi="宋体" w:cs="宋体" w:hint="eastAsia"/>
          <w:sz w:val="32"/>
          <w:szCs w:val="32"/>
        </w:rPr>
        <w:t>2022年8月</w:t>
      </w:r>
    </w:p>
    <w:p w:rsidR="008A30C4" w:rsidRDefault="008A30C4">
      <w:pPr>
        <w:jc w:val="center"/>
        <w:rPr>
          <w:rFonts w:ascii="宋体" w:hAnsi="宋体" w:cs="宋体"/>
          <w:b/>
          <w:bCs/>
          <w:sz w:val="32"/>
        </w:rPr>
      </w:pPr>
    </w:p>
    <w:p w:rsidR="008A30C4" w:rsidRDefault="008A30C4">
      <w:pPr>
        <w:jc w:val="center"/>
        <w:rPr>
          <w:rFonts w:ascii="宋体" w:hAnsi="宋体" w:cs="宋体"/>
          <w:b/>
          <w:bCs/>
          <w:sz w:val="32"/>
        </w:rPr>
      </w:pPr>
    </w:p>
    <w:p w:rsidR="008A30C4" w:rsidRDefault="00F14256">
      <w:pPr>
        <w:widowControl/>
        <w:jc w:val="left"/>
        <w:rPr>
          <w:sz w:val="32"/>
          <w:szCs w:val="32"/>
        </w:rPr>
      </w:pPr>
      <w:r>
        <w:rPr>
          <w:sz w:val="32"/>
          <w:szCs w:val="32"/>
        </w:rPr>
        <w:br w:type="page"/>
      </w:r>
    </w:p>
    <w:p w:rsidR="008A30C4" w:rsidRDefault="00F14256">
      <w:pPr>
        <w:spacing w:line="360" w:lineRule="auto"/>
        <w:jc w:val="center"/>
        <w:rPr>
          <w:sz w:val="32"/>
          <w:szCs w:val="32"/>
        </w:rPr>
      </w:pPr>
      <w:r>
        <w:rPr>
          <w:rFonts w:hint="eastAsia"/>
          <w:sz w:val="32"/>
          <w:szCs w:val="32"/>
        </w:rPr>
        <w:lastRenderedPageBreak/>
        <w:t>编制说明</w:t>
      </w:r>
    </w:p>
    <w:p w:rsidR="008A30C4" w:rsidRDefault="00F14256" w:rsidP="00F83044">
      <w:pPr>
        <w:spacing w:line="360" w:lineRule="auto"/>
        <w:ind w:firstLine="422"/>
        <w:rPr>
          <w:rFonts w:ascii="Calibri" w:eastAsia="宋体" w:hAnsi="Calibri" w:cs="Times New Roman"/>
          <w:b/>
          <w:bCs/>
          <w:sz w:val="28"/>
          <w:szCs w:val="28"/>
        </w:rPr>
      </w:pPr>
      <w:r>
        <w:rPr>
          <w:rFonts w:ascii="Calibri" w:eastAsia="宋体" w:hAnsi="Calibri" w:cs="Times New Roman" w:hint="eastAsia"/>
          <w:b/>
          <w:bCs/>
          <w:sz w:val="28"/>
          <w:szCs w:val="28"/>
        </w:rPr>
        <w:t>一、任务来源</w:t>
      </w:r>
    </w:p>
    <w:p w:rsidR="008A30C4" w:rsidRDefault="00F14256" w:rsidP="00F83044">
      <w:pPr>
        <w:snapToGrid w:val="0"/>
        <w:spacing w:line="360" w:lineRule="auto"/>
        <w:ind w:firstLineChars="200" w:firstLine="560"/>
        <w:rPr>
          <w:rFonts w:ascii="宋体" w:hAnsi="宋体" w:cs="宋体"/>
          <w:sz w:val="28"/>
          <w:szCs w:val="28"/>
        </w:rPr>
      </w:pPr>
      <w:r>
        <w:rPr>
          <w:rFonts w:ascii="宋体" w:hAnsi="宋体" w:cs="宋体" w:hint="eastAsia"/>
          <w:sz w:val="28"/>
          <w:szCs w:val="28"/>
        </w:rPr>
        <w:t>JJF 1221-2009《汽车排气污染物检测用底盘测功机校准规范》于2009发布实施，已经执行13年，随着GB 3847-2018、GB 18285-2018等国家强制标准的实施，规范存在与国家标准不一致的情况，另外，规范在实际执行过程中，规范自身也存在一些与实际不符的问题，现急需对规范进行相应的修订。</w:t>
      </w:r>
    </w:p>
    <w:p w:rsidR="008A30C4" w:rsidRDefault="00F14256" w:rsidP="00F83044">
      <w:pPr>
        <w:spacing w:line="360" w:lineRule="auto"/>
        <w:ind w:firstLine="422"/>
        <w:rPr>
          <w:sz w:val="28"/>
          <w:szCs w:val="28"/>
        </w:rPr>
      </w:pPr>
      <w:r>
        <w:rPr>
          <w:rFonts w:ascii="宋体" w:hAnsi="宋体" w:cs="宋体" w:hint="eastAsia"/>
          <w:sz w:val="28"/>
          <w:szCs w:val="28"/>
        </w:rPr>
        <w:t>根据全国法制计量管理计量技术委员会机动车检验检测分技术委员会MTC1/SC2[2021]3号文件，《关于委托起草《机动车检测用气象单元校准规范〉等6项国家计量技术规范的函》的要求，由河南省计量科学研究院、中国测试技术研究院、浙江省计量科学研究院、河南万国科技股份有限公司、石家庄华燕交通科技有限公司、浙江江兴汽车检测设备厂负责《汽车排气污染物检测用底盘测功机校准规范》修订工作。</w:t>
      </w:r>
    </w:p>
    <w:p w:rsidR="008A30C4" w:rsidRDefault="00F14256" w:rsidP="00F83044">
      <w:pPr>
        <w:spacing w:line="360" w:lineRule="auto"/>
        <w:ind w:firstLineChars="200" w:firstLine="562"/>
        <w:rPr>
          <w:rFonts w:asciiTheme="minorEastAsia" w:hAnsiTheme="minorEastAsia"/>
          <w:sz w:val="28"/>
          <w:szCs w:val="28"/>
        </w:rPr>
      </w:pPr>
      <w:r>
        <w:rPr>
          <w:rFonts w:ascii="Calibri" w:eastAsia="宋体" w:hAnsi="Calibri" w:cs="Times New Roman" w:hint="eastAsia"/>
          <w:b/>
          <w:bCs/>
          <w:sz w:val="28"/>
          <w:szCs w:val="28"/>
        </w:rPr>
        <w:t>二．制定规范的依据</w:t>
      </w:r>
    </w:p>
    <w:p w:rsidR="008A30C4" w:rsidRDefault="00F14256" w:rsidP="00F83044">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国家标准GB18285-2018相关测功机技术要求主要引用HJ/T290-2006、 HJ/T291-2006、 HJ/T396-2007； GB3847-2018主要引用HJ/T292-2006；交通运输行业标准JT/T 445汽车底盘测功机多项指标均同3847和18285一致，考虑到底盘测功机校准规范JJF1221为国家计量技术规范，规范修订是在JJF1221-2009的基础上，主要参考GB18285-2018</w:t>
      </w:r>
      <w:r>
        <w:rPr>
          <w:rFonts w:ascii="宋体" w:hAnsi="宋体" w:cs="宋体" w:hint="eastAsia"/>
          <w:sz w:val="28"/>
          <w:szCs w:val="28"/>
        </w:rPr>
        <w:t>汽油车污染物排放限值及测量方法</w:t>
      </w:r>
      <w:r>
        <w:rPr>
          <w:rFonts w:asciiTheme="minorEastAsia" w:hAnsiTheme="minorEastAsia" w:hint="eastAsia"/>
          <w:sz w:val="28"/>
          <w:szCs w:val="28"/>
        </w:rPr>
        <w:t>和GB3847-2018</w:t>
      </w:r>
      <w:r>
        <w:rPr>
          <w:rFonts w:ascii="宋体" w:hAnsi="宋体" w:cs="宋体" w:hint="eastAsia"/>
          <w:sz w:val="28"/>
          <w:szCs w:val="28"/>
        </w:rPr>
        <w:t>柴油污染物排放限值及测量方法</w:t>
      </w:r>
      <w:r>
        <w:rPr>
          <w:rFonts w:asciiTheme="minorEastAsia" w:hAnsiTheme="minorEastAsia" w:hint="eastAsia"/>
          <w:sz w:val="28"/>
          <w:szCs w:val="28"/>
        </w:rPr>
        <w:t>，以JT/T 445-2021</w:t>
      </w:r>
      <w:r>
        <w:rPr>
          <w:rFonts w:ascii="宋体" w:hAnsi="宋体" w:cs="宋体" w:hint="eastAsia"/>
          <w:sz w:val="28"/>
          <w:szCs w:val="28"/>
        </w:rPr>
        <w:t>汽车底盘测功机标准</w:t>
      </w:r>
      <w:r>
        <w:rPr>
          <w:rFonts w:asciiTheme="minorEastAsia" w:hAnsiTheme="minorEastAsia" w:hint="eastAsia"/>
          <w:sz w:val="28"/>
          <w:szCs w:val="28"/>
        </w:rPr>
        <w:t>、HJ/T 290-2006 汽油车简易瞬态工况法排气污染</w:t>
      </w:r>
      <w:r>
        <w:rPr>
          <w:rFonts w:asciiTheme="minorEastAsia" w:hAnsiTheme="minorEastAsia" w:hint="eastAsia"/>
          <w:sz w:val="28"/>
          <w:szCs w:val="28"/>
        </w:rPr>
        <w:lastRenderedPageBreak/>
        <w:t>物测量设备技术要求、HJ/T 292-2006柴油车加载减速工况法排气烟度测量设备技术要求为次要参考进行修订。</w:t>
      </w:r>
    </w:p>
    <w:p w:rsidR="008A30C4" w:rsidRDefault="00F14256" w:rsidP="00F83044">
      <w:pPr>
        <w:snapToGrid w:val="0"/>
        <w:spacing w:line="360" w:lineRule="auto"/>
        <w:ind w:firstLineChars="200" w:firstLine="560"/>
        <w:rPr>
          <w:rFonts w:ascii="宋体" w:hAnsi="宋体" w:cs="宋体"/>
          <w:sz w:val="28"/>
          <w:szCs w:val="28"/>
        </w:rPr>
      </w:pPr>
      <w:r>
        <w:rPr>
          <w:rFonts w:ascii="宋体" w:hAnsi="宋体" w:cs="宋体" w:hint="eastAsia"/>
          <w:kern w:val="0"/>
          <w:sz w:val="28"/>
          <w:szCs w:val="28"/>
        </w:rPr>
        <w:t>本规范以JJF1071-2010《国家计量校准规范编写规则》、JJF1001-2011《通用计量术语及定义》、JJF1059.1-2012《测量不确定度评定与表示》为依据，</w:t>
      </w:r>
      <w:r>
        <w:rPr>
          <w:rFonts w:ascii="宋体" w:hAnsi="宋体" w:cs="宋体" w:hint="eastAsia"/>
          <w:sz w:val="28"/>
          <w:szCs w:val="28"/>
        </w:rPr>
        <w:t>结合</w:t>
      </w:r>
      <w:r>
        <w:rPr>
          <w:rFonts w:ascii="宋体" w:hAnsi="宋体" w:cs="宋体" w:hint="eastAsia"/>
          <w:bCs/>
          <w:sz w:val="28"/>
          <w:szCs w:val="28"/>
        </w:rPr>
        <w:t>GB18285－2018《</w:t>
      </w:r>
      <w:r>
        <w:rPr>
          <w:rFonts w:ascii="宋体" w:hAnsi="宋体" w:cs="宋体" w:hint="eastAsia"/>
          <w:sz w:val="28"/>
          <w:szCs w:val="28"/>
        </w:rPr>
        <w:t>汽油车污染物排放限值及测量方法</w:t>
      </w:r>
      <w:r>
        <w:rPr>
          <w:rFonts w:ascii="宋体" w:hAnsi="宋体" w:cs="宋体" w:hint="eastAsia"/>
          <w:bCs/>
          <w:sz w:val="28"/>
          <w:szCs w:val="28"/>
        </w:rPr>
        <w:t>》（双怠速法及简易工况法）</w:t>
      </w:r>
      <w:r>
        <w:rPr>
          <w:rFonts w:ascii="宋体" w:hAnsi="宋体" w:cs="宋体" w:hint="eastAsia"/>
          <w:sz w:val="28"/>
          <w:szCs w:val="28"/>
        </w:rPr>
        <w:t>、</w:t>
      </w:r>
      <w:r>
        <w:rPr>
          <w:rFonts w:ascii="宋体" w:hAnsi="宋体" w:cs="宋体" w:hint="eastAsia"/>
          <w:bCs/>
          <w:sz w:val="28"/>
          <w:szCs w:val="28"/>
        </w:rPr>
        <w:t xml:space="preserve">GB </w:t>
      </w:r>
      <w:r>
        <w:rPr>
          <w:rFonts w:ascii="宋体" w:hAnsi="宋体" w:cs="宋体" w:hint="eastAsia"/>
          <w:sz w:val="28"/>
          <w:szCs w:val="28"/>
        </w:rPr>
        <w:t>3847-2018《柴油污染物排放限值及测量方法》（自由加速法及加载减速法）、JT∕T 445-2021 《汽车底盘测功机》、</w:t>
      </w:r>
      <w:r>
        <w:rPr>
          <w:rFonts w:asciiTheme="minorEastAsia" w:hAnsiTheme="minorEastAsia" w:hint="eastAsia"/>
          <w:sz w:val="28"/>
          <w:szCs w:val="28"/>
        </w:rPr>
        <w:t xml:space="preserve"> HJ/T 290-2006 《汽油车简易瞬态工况法排气污染物测量设备技术要求》、HJ/T 292-2006《柴油车加载减速工况法排气烟度测量设备技术要求》</w:t>
      </w:r>
      <w:r>
        <w:rPr>
          <w:rFonts w:ascii="宋体" w:hAnsi="宋体" w:cs="宋体" w:hint="eastAsia"/>
          <w:sz w:val="28"/>
          <w:szCs w:val="28"/>
        </w:rPr>
        <w:t>对JJF1221-2009版进行修订。</w:t>
      </w:r>
    </w:p>
    <w:p w:rsidR="008A30C4" w:rsidRDefault="00F14256" w:rsidP="00F83044">
      <w:pPr>
        <w:snapToGrid w:val="0"/>
        <w:spacing w:line="360" w:lineRule="auto"/>
        <w:ind w:firstLineChars="200" w:firstLine="562"/>
        <w:rPr>
          <w:rFonts w:hAnsi="宋体" w:cs="MingLiU"/>
          <w:b/>
          <w:sz w:val="28"/>
          <w:szCs w:val="28"/>
        </w:rPr>
      </w:pPr>
      <w:r>
        <w:rPr>
          <w:rFonts w:ascii="Calibri" w:eastAsia="宋体" w:hAnsi="宋体" w:cs="MingLiU" w:hint="eastAsia"/>
          <w:b/>
          <w:sz w:val="28"/>
          <w:szCs w:val="28"/>
        </w:rPr>
        <w:t>三、规范制定和选择校准技术指标的原则</w:t>
      </w:r>
    </w:p>
    <w:p w:rsidR="008A30C4" w:rsidRDefault="003D11D7" w:rsidP="001E7494">
      <w:pPr>
        <w:snapToGrid w:val="0"/>
        <w:spacing w:line="360" w:lineRule="auto"/>
        <w:ind w:firstLineChars="200" w:firstLine="560"/>
        <w:rPr>
          <w:rFonts w:ascii="宋体" w:hAnsi="宋体" w:cs="宋体"/>
          <w:sz w:val="28"/>
          <w:szCs w:val="28"/>
        </w:rPr>
      </w:pPr>
      <w:r w:rsidRPr="003D11D7">
        <w:rPr>
          <w:rFonts w:ascii="宋体" w:hAnsi="宋体" w:cs="宋体" w:hint="eastAsia"/>
          <w:sz w:val="28"/>
          <w:szCs w:val="28"/>
        </w:rPr>
        <w:t>在</w:t>
      </w:r>
      <w:r w:rsidR="00F9534F">
        <w:rPr>
          <w:rFonts w:ascii="宋体" w:hAnsi="宋体" w:cs="宋体" w:hint="eastAsia"/>
          <w:sz w:val="28"/>
          <w:szCs w:val="28"/>
        </w:rPr>
        <w:t>执行</w:t>
      </w:r>
      <w:r w:rsidRPr="003D11D7">
        <w:rPr>
          <w:rFonts w:ascii="宋体" w:hAnsi="宋体" w:cs="宋体" w:hint="eastAsia"/>
          <w:sz w:val="28"/>
          <w:szCs w:val="28"/>
        </w:rPr>
        <w:t>市场监管总局印发的《国</w:t>
      </w:r>
      <w:r w:rsidR="00E32132">
        <w:rPr>
          <w:rFonts w:ascii="宋体" w:hAnsi="宋体" w:cs="宋体" w:hint="eastAsia"/>
          <w:sz w:val="28"/>
          <w:szCs w:val="28"/>
        </w:rPr>
        <w:t>家</w:t>
      </w:r>
      <w:r w:rsidRPr="003D11D7">
        <w:rPr>
          <w:rFonts w:ascii="宋体" w:hAnsi="宋体" w:cs="宋体" w:hint="eastAsia"/>
          <w:sz w:val="28"/>
          <w:szCs w:val="28"/>
        </w:rPr>
        <w:t>计量技术规范集中复审工作方案》通知</w:t>
      </w:r>
      <w:r w:rsidR="00E32132">
        <w:rPr>
          <w:rFonts w:ascii="宋体" w:hAnsi="宋体" w:cs="宋体" w:hint="eastAsia"/>
          <w:sz w:val="28"/>
          <w:szCs w:val="28"/>
        </w:rPr>
        <w:t>过程中</w:t>
      </w:r>
      <w:r w:rsidRPr="003D11D7">
        <w:rPr>
          <w:rFonts w:ascii="宋体" w:hAnsi="宋体" w:cs="宋体" w:hint="eastAsia"/>
          <w:sz w:val="28"/>
          <w:szCs w:val="28"/>
        </w:rPr>
        <w:t>，</w:t>
      </w:r>
      <w:r w:rsidR="003732A6" w:rsidRPr="001E7494">
        <w:rPr>
          <w:rFonts w:ascii="宋体" w:hAnsi="宋体" w:cs="宋体"/>
          <w:sz w:val="28"/>
          <w:szCs w:val="28"/>
        </w:rPr>
        <w:t>全国法制计量</w:t>
      </w:r>
      <w:r w:rsidR="003732A6" w:rsidRPr="001E7494">
        <w:rPr>
          <w:rFonts w:ascii="宋体" w:hAnsi="宋体" w:cs="宋体" w:hint="eastAsia"/>
          <w:sz w:val="28"/>
          <w:szCs w:val="28"/>
        </w:rPr>
        <w:t>管理计量</w:t>
      </w:r>
      <w:r w:rsidR="003732A6" w:rsidRPr="001E7494">
        <w:rPr>
          <w:rFonts w:ascii="宋体" w:hAnsi="宋体" w:cs="宋体"/>
          <w:sz w:val="28"/>
          <w:szCs w:val="28"/>
        </w:rPr>
        <w:t>技术</w:t>
      </w:r>
      <w:r w:rsidR="003732A6" w:rsidRPr="001E7494">
        <w:rPr>
          <w:rFonts w:ascii="宋体" w:hAnsi="宋体" w:cs="宋体" w:hint="eastAsia"/>
          <w:sz w:val="28"/>
          <w:szCs w:val="28"/>
        </w:rPr>
        <w:t>工作</w:t>
      </w:r>
      <w:r w:rsidR="003732A6" w:rsidRPr="001E7494">
        <w:rPr>
          <w:rFonts w:ascii="宋体" w:hAnsi="宋体" w:cs="宋体"/>
          <w:sz w:val="28"/>
          <w:szCs w:val="28"/>
        </w:rPr>
        <w:t>委员会</w:t>
      </w:r>
      <w:r w:rsidR="003732A6" w:rsidRPr="001E7494">
        <w:rPr>
          <w:rFonts w:ascii="宋体" w:hAnsi="宋体" w:cs="宋体" w:hint="eastAsia"/>
          <w:sz w:val="28"/>
          <w:szCs w:val="28"/>
        </w:rPr>
        <w:t>机动车检验检测分技术委员会</w:t>
      </w:r>
      <w:r w:rsidRPr="003D11D7">
        <w:rPr>
          <w:rFonts w:ascii="宋体" w:hAnsi="宋体" w:cs="宋体" w:hint="eastAsia"/>
          <w:sz w:val="28"/>
          <w:szCs w:val="28"/>
        </w:rPr>
        <w:t>在复审</w:t>
      </w:r>
      <w:r w:rsidR="003B1340" w:rsidRPr="003D11D7">
        <w:rPr>
          <w:rFonts w:ascii="宋体" w:hAnsi="宋体" w:cs="宋体" w:hint="eastAsia"/>
          <w:sz w:val="28"/>
          <w:szCs w:val="28"/>
        </w:rPr>
        <w:t>JJF1221-2009</w:t>
      </w:r>
      <w:r w:rsidR="003B1340">
        <w:rPr>
          <w:rFonts w:ascii="宋体" w:hAnsi="宋体" w:cs="宋体" w:hint="eastAsia"/>
          <w:sz w:val="28"/>
          <w:szCs w:val="28"/>
        </w:rPr>
        <w:t>《</w:t>
      </w:r>
      <w:r w:rsidRPr="003D11D7">
        <w:rPr>
          <w:rFonts w:ascii="宋体" w:hAnsi="宋体" w:cs="宋体" w:hint="eastAsia"/>
          <w:sz w:val="28"/>
          <w:szCs w:val="28"/>
        </w:rPr>
        <w:t>汽车排气污染物检测用底盘测功机校准规范</w:t>
      </w:r>
      <w:r w:rsidR="001925EA">
        <w:rPr>
          <w:rFonts w:ascii="宋体" w:hAnsi="宋体" w:cs="宋体" w:hint="eastAsia"/>
          <w:sz w:val="28"/>
          <w:szCs w:val="28"/>
        </w:rPr>
        <w:t>》</w:t>
      </w:r>
      <w:r w:rsidRPr="003D11D7">
        <w:rPr>
          <w:rFonts w:ascii="宋体" w:hAnsi="宋体" w:cs="宋体" w:hint="eastAsia"/>
          <w:sz w:val="28"/>
          <w:szCs w:val="28"/>
        </w:rPr>
        <w:t>审查中发现</w:t>
      </w:r>
      <w:r w:rsidR="00F14256" w:rsidRPr="003D11D7">
        <w:rPr>
          <w:rFonts w:ascii="宋体" w:hAnsi="宋体" w:cs="宋体" w:hint="eastAsia"/>
          <w:sz w:val="28"/>
          <w:szCs w:val="28"/>
        </w:rPr>
        <w:t>规范存在问题如下：1</w:t>
      </w:r>
      <w:r w:rsidR="00F14256">
        <w:rPr>
          <w:rFonts w:ascii="宋体" w:hAnsi="宋体" w:cs="宋体" w:hint="eastAsia"/>
          <w:sz w:val="28"/>
          <w:szCs w:val="28"/>
        </w:rPr>
        <w:t>主滚筒直径计算公式错误，2扭力重复性计算公式错误，3恒载荷加载滑行时间计算公式错误，4不确定度实例部分计算错误。</w:t>
      </w:r>
      <w:r w:rsidR="00F14256" w:rsidRPr="00F83044">
        <w:rPr>
          <w:rFonts w:ascii="宋体" w:hAnsi="宋体" w:cs="宋体" w:hint="eastAsia"/>
          <w:sz w:val="28"/>
          <w:szCs w:val="28"/>
        </w:rPr>
        <w:t>补充说明及建议如下:</w:t>
      </w:r>
      <w:r w:rsidR="00F14256">
        <w:rPr>
          <w:rFonts w:ascii="宋体" w:hAnsi="宋体" w:cs="宋体" w:hint="eastAsia"/>
          <w:sz w:val="28"/>
          <w:szCs w:val="28"/>
        </w:rPr>
        <w:t>充分考虑底盘测功机技术指标及功能与强制性标准及行业标准协调统一，并建议在附录中增加基本惯量不确定度评定方法；建议速度校准点、速度误差，负载（变载）滑行区间及误差与国家标准一致。</w:t>
      </w:r>
    </w:p>
    <w:p w:rsidR="008A30C4" w:rsidRDefault="00F14256">
      <w:pPr>
        <w:snapToGrid w:val="0"/>
        <w:spacing w:line="360" w:lineRule="auto"/>
        <w:ind w:firstLineChars="200" w:firstLine="560"/>
        <w:rPr>
          <w:rFonts w:ascii="宋体" w:hAnsi="宋体" w:cs="宋体"/>
          <w:sz w:val="28"/>
          <w:szCs w:val="28"/>
        </w:rPr>
      </w:pPr>
      <w:r>
        <w:rPr>
          <w:rFonts w:ascii="宋体" w:hAnsi="宋体" w:cs="宋体" w:hint="eastAsia"/>
          <w:sz w:val="28"/>
          <w:szCs w:val="28"/>
        </w:rPr>
        <w:t>本规范修订依据上述结论和规范存在与国家标准不一致的情况，另外，规范在实际执行过程中，规范自身也存在一些与实际不符的问题，现急需对规范进行相应的修订。</w:t>
      </w:r>
    </w:p>
    <w:p w:rsidR="008A30C4" w:rsidRDefault="00F14256" w:rsidP="00F83044">
      <w:pPr>
        <w:spacing w:line="360" w:lineRule="auto"/>
        <w:ind w:firstLineChars="196" w:firstLine="551"/>
        <w:rPr>
          <w:rFonts w:ascii="宋体" w:hAnsi="宋体" w:cs="宋体"/>
          <w:b/>
          <w:bCs/>
          <w:sz w:val="28"/>
          <w:szCs w:val="28"/>
        </w:rPr>
      </w:pPr>
      <w:r>
        <w:rPr>
          <w:rFonts w:ascii="宋体" w:hAnsi="宋体" w:cs="宋体" w:hint="eastAsia"/>
          <w:b/>
          <w:sz w:val="28"/>
          <w:szCs w:val="28"/>
        </w:rPr>
        <w:t>四、</w:t>
      </w:r>
      <w:r>
        <w:rPr>
          <w:rFonts w:ascii="宋体" w:hAnsi="宋体" w:cs="宋体" w:hint="eastAsia"/>
          <w:b/>
          <w:bCs/>
          <w:sz w:val="28"/>
          <w:szCs w:val="28"/>
        </w:rPr>
        <w:t>规程起草进度安排</w:t>
      </w:r>
    </w:p>
    <w:p w:rsidR="008A30C4" w:rsidRDefault="00F14256" w:rsidP="00F83044">
      <w:pPr>
        <w:spacing w:line="360" w:lineRule="auto"/>
        <w:ind w:firstLineChars="200" w:firstLine="560"/>
        <w:rPr>
          <w:rFonts w:ascii="宋体" w:hAnsi="宋体" w:cs="宋体"/>
          <w:sz w:val="28"/>
          <w:szCs w:val="28"/>
        </w:rPr>
      </w:pPr>
      <w:r>
        <w:rPr>
          <w:rFonts w:ascii="宋体" w:hAnsi="宋体" w:cs="宋体" w:hint="eastAsia"/>
          <w:sz w:val="28"/>
          <w:szCs w:val="28"/>
        </w:rPr>
        <w:lastRenderedPageBreak/>
        <w:t>第一阶段：成立起草小组，安排人员分工，2021年8月-2021年 9月。</w:t>
      </w:r>
    </w:p>
    <w:p w:rsidR="008A30C4" w:rsidRDefault="00F14256" w:rsidP="00F83044">
      <w:pPr>
        <w:spacing w:line="360" w:lineRule="auto"/>
        <w:ind w:firstLineChars="200" w:firstLine="560"/>
        <w:rPr>
          <w:rFonts w:ascii="宋体" w:hAnsi="宋体" w:cs="宋体"/>
          <w:sz w:val="28"/>
          <w:szCs w:val="28"/>
        </w:rPr>
      </w:pPr>
      <w:r>
        <w:rPr>
          <w:rFonts w:ascii="宋体" w:hAnsi="宋体" w:cs="宋体" w:hint="eastAsia"/>
          <w:sz w:val="28"/>
          <w:szCs w:val="28"/>
        </w:rPr>
        <w:t>第二阶段：技术调研，起草征求意见稿，2021年10月-2022年9月。</w:t>
      </w:r>
    </w:p>
    <w:p w:rsidR="008A30C4" w:rsidRDefault="00F14256" w:rsidP="00F83044">
      <w:pPr>
        <w:spacing w:line="360" w:lineRule="auto"/>
        <w:ind w:firstLineChars="200" w:firstLine="560"/>
        <w:rPr>
          <w:rFonts w:ascii="宋体" w:hAnsi="宋体" w:cs="宋体"/>
          <w:sz w:val="28"/>
          <w:szCs w:val="28"/>
        </w:rPr>
      </w:pPr>
      <w:r>
        <w:rPr>
          <w:rFonts w:ascii="宋体" w:hAnsi="宋体" w:cs="宋体" w:hint="eastAsia"/>
          <w:sz w:val="28"/>
          <w:szCs w:val="28"/>
        </w:rPr>
        <w:t>为了准确对汽车排气污染物检测用底盘测功机进行校准，准确反映出该检测仪的实际状况，在规范编制期间，起草组先后在河北石家庄华燕、山东新凌志、深圳安车、河南万国、浙江江兴等测功机主要生产厂家进行调研、试验，对产品的工作原理和工作方法进行研究、对不同厂家的产品相关计量性能进行了实验。</w:t>
      </w:r>
    </w:p>
    <w:p w:rsidR="008A30C4" w:rsidRDefault="00F14256" w:rsidP="00F83044">
      <w:pPr>
        <w:spacing w:line="360" w:lineRule="auto"/>
        <w:ind w:firstLineChars="200" w:firstLine="560"/>
        <w:rPr>
          <w:rFonts w:ascii="宋体" w:hAnsi="宋体" w:cs="宋体"/>
          <w:sz w:val="28"/>
          <w:szCs w:val="28"/>
        </w:rPr>
      </w:pPr>
      <w:r>
        <w:rPr>
          <w:rFonts w:ascii="宋体" w:hAnsi="宋体" w:cs="宋体" w:hint="eastAsia"/>
          <w:sz w:val="28"/>
          <w:szCs w:val="28"/>
        </w:rPr>
        <w:t xml:space="preserve">第三阶段：征求意见，2022年11月-2023年1月。 </w:t>
      </w:r>
    </w:p>
    <w:p w:rsidR="008A30C4" w:rsidRDefault="00F14256" w:rsidP="00F83044">
      <w:pPr>
        <w:spacing w:line="360" w:lineRule="auto"/>
        <w:ind w:firstLineChars="200" w:firstLine="560"/>
        <w:rPr>
          <w:rFonts w:ascii="宋体" w:hAnsi="宋体" w:cs="宋体"/>
          <w:sz w:val="28"/>
          <w:szCs w:val="28"/>
        </w:rPr>
      </w:pPr>
      <w:r>
        <w:rPr>
          <w:rFonts w:ascii="宋体" w:hAnsi="宋体" w:cs="宋体" w:hint="eastAsia"/>
          <w:sz w:val="28"/>
          <w:szCs w:val="28"/>
        </w:rPr>
        <w:t>对反馈意见进行归纳，起草组进行整理、讨论，形成报审稿。</w:t>
      </w:r>
    </w:p>
    <w:p w:rsidR="008A30C4" w:rsidRDefault="00F14256" w:rsidP="00F83044">
      <w:pPr>
        <w:spacing w:line="360" w:lineRule="auto"/>
        <w:ind w:firstLineChars="200" w:firstLine="560"/>
        <w:rPr>
          <w:rFonts w:ascii="宋体" w:hAnsi="宋体" w:cs="宋体"/>
          <w:sz w:val="28"/>
          <w:szCs w:val="28"/>
        </w:rPr>
      </w:pPr>
      <w:r>
        <w:rPr>
          <w:rFonts w:ascii="宋体" w:hAnsi="宋体" w:cs="宋体" w:hint="eastAsia"/>
          <w:sz w:val="28"/>
          <w:szCs w:val="28"/>
        </w:rPr>
        <w:t>第四阶段：审定报批，2023年2月-2023年8月。</w:t>
      </w:r>
    </w:p>
    <w:p w:rsidR="008A30C4" w:rsidRDefault="00F14256" w:rsidP="00F83044">
      <w:pPr>
        <w:snapToGrid w:val="0"/>
        <w:spacing w:line="360" w:lineRule="auto"/>
        <w:ind w:firstLineChars="200" w:firstLine="560"/>
        <w:rPr>
          <w:rFonts w:ascii="宋体" w:hAnsi="宋体" w:cs="宋体"/>
          <w:sz w:val="28"/>
          <w:szCs w:val="28"/>
        </w:rPr>
      </w:pPr>
      <w:r>
        <w:rPr>
          <w:rFonts w:ascii="宋体" w:hAnsi="宋体" w:cs="宋体" w:hint="eastAsia"/>
          <w:sz w:val="28"/>
          <w:szCs w:val="28"/>
        </w:rPr>
        <w:t>报全国法制计量管理计量技术委员会机动车检验检测分技术委员会审定，按照审定意见修改后形成报批稿，报秘书处。</w:t>
      </w:r>
    </w:p>
    <w:p w:rsidR="008A30C4" w:rsidRDefault="00F14256" w:rsidP="00F83044">
      <w:pPr>
        <w:snapToGrid w:val="0"/>
        <w:spacing w:line="360" w:lineRule="auto"/>
        <w:rPr>
          <w:rFonts w:ascii="宋体" w:hAnsi="宋体" w:cs="宋体"/>
          <w:b/>
          <w:sz w:val="28"/>
          <w:szCs w:val="28"/>
        </w:rPr>
      </w:pPr>
      <w:r>
        <w:rPr>
          <w:rFonts w:ascii="宋体" w:hAnsi="宋体" w:cs="宋体" w:hint="eastAsia"/>
          <w:b/>
          <w:sz w:val="28"/>
          <w:szCs w:val="28"/>
        </w:rPr>
        <w:t xml:space="preserve">  五、修订</w:t>
      </w:r>
      <w:r>
        <w:rPr>
          <w:rFonts w:ascii="宋体" w:hAnsi="宋体" w:cs="宋体" w:hint="eastAsia"/>
          <w:b/>
          <w:bCs/>
          <w:sz w:val="28"/>
          <w:szCs w:val="28"/>
        </w:rPr>
        <w:t>主要</w:t>
      </w:r>
      <w:r>
        <w:rPr>
          <w:rFonts w:ascii="宋体" w:hAnsi="宋体" w:cs="宋体" w:hint="eastAsia"/>
          <w:b/>
          <w:sz w:val="28"/>
          <w:szCs w:val="28"/>
        </w:rPr>
        <w:t>内容及说明</w:t>
      </w:r>
    </w:p>
    <w:p w:rsidR="008A30C4" w:rsidRDefault="00F14256" w:rsidP="00F83044">
      <w:pPr>
        <w:snapToGrid w:val="0"/>
        <w:spacing w:line="360" w:lineRule="auto"/>
        <w:ind w:firstLineChars="200" w:firstLine="560"/>
        <w:rPr>
          <w:rFonts w:ascii="宋体" w:hAnsi="宋体" w:cs="宋体"/>
          <w:kern w:val="0"/>
          <w:sz w:val="28"/>
          <w:szCs w:val="28"/>
        </w:rPr>
      </w:pPr>
      <w:r>
        <w:rPr>
          <w:rFonts w:ascii="宋体" w:hAnsi="宋体" w:cs="宋体" w:hint="eastAsia"/>
          <w:kern w:val="0"/>
          <w:sz w:val="28"/>
          <w:szCs w:val="28"/>
        </w:rPr>
        <w:t>与</w:t>
      </w:r>
      <w:r>
        <w:rPr>
          <w:rFonts w:ascii="宋体" w:hAnsi="宋体" w:cs="宋体"/>
          <w:kern w:val="0"/>
          <w:sz w:val="28"/>
          <w:szCs w:val="28"/>
        </w:rPr>
        <w:t>JJF1221-2009</w:t>
      </w:r>
      <w:r>
        <w:rPr>
          <w:rFonts w:ascii="宋体" w:hAnsi="宋体" w:cs="宋体" w:hint="eastAsia"/>
          <w:kern w:val="0"/>
          <w:sz w:val="28"/>
          <w:szCs w:val="28"/>
        </w:rPr>
        <w:t>相比，除编辑性修改外主要变化如下：</w:t>
      </w:r>
    </w:p>
    <w:p w:rsidR="008A30C4" w:rsidRDefault="00F14256" w:rsidP="00F83044">
      <w:pPr>
        <w:snapToGrid w:val="0"/>
        <w:spacing w:line="360" w:lineRule="auto"/>
        <w:ind w:firstLineChars="200" w:firstLine="560"/>
        <w:rPr>
          <w:rFonts w:ascii="宋体" w:hAnsi="宋体" w:cs="宋体"/>
          <w:kern w:val="0"/>
          <w:sz w:val="28"/>
          <w:szCs w:val="28"/>
        </w:rPr>
      </w:pPr>
      <w:r>
        <w:rPr>
          <w:rFonts w:ascii="宋体" w:hAnsi="宋体" w:cs="宋体" w:hint="eastAsia"/>
          <w:kern w:val="0"/>
          <w:sz w:val="28"/>
          <w:szCs w:val="28"/>
        </w:rPr>
        <w:t>—— “ 范围”中，删除了“本规范规定了汽车排气污染物检测用底盘测功机（以下简称底盘测功机）的计量特性、校准条件、校准项目和校准方法”。使用范围增加了瞬态工况法；将点燃式发动机汽车和压燃式发动机汽车分别改为汽油车和柴油车。</w:t>
      </w:r>
    </w:p>
    <w:p w:rsidR="008A30C4" w:rsidRDefault="00F14256" w:rsidP="00F83044">
      <w:pPr>
        <w:snapToGrid w:val="0"/>
        <w:spacing w:line="360" w:lineRule="auto"/>
        <w:ind w:firstLineChars="200" w:firstLine="560"/>
        <w:rPr>
          <w:rFonts w:ascii="宋体" w:hAnsi="宋体" w:cs="宋体"/>
          <w:kern w:val="0"/>
          <w:sz w:val="28"/>
          <w:szCs w:val="28"/>
        </w:rPr>
      </w:pPr>
      <w:r>
        <w:rPr>
          <w:rFonts w:ascii="宋体" w:hAnsi="宋体" w:cs="宋体" w:hint="eastAsia"/>
          <w:kern w:val="0"/>
          <w:sz w:val="28"/>
          <w:szCs w:val="28"/>
        </w:rPr>
        <w:t>说明：GB18285和GB3847分别称汽油车和柴油车。</w:t>
      </w:r>
    </w:p>
    <w:p w:rsidR="008A30C4" w:rsidRDefault="00F14256" w:rsidP="00F83044">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 “ 引用文件”中，增加了JT∕T 445-2021 《汽车底盘测功机》。</w:t>
      </w:r>
    </w:p>
    <w:p w:rsidR="008A30C4" w:rsidRDefault="00F14256" w:rsidP="00F83044">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lastRenderedPageBreak/>
        <w:t>—— “ 术语”中，修改了底盘测功机基本惯量和主滚筒的描述；增加了排气污染物和增加了杠杆比。</w:t>
      </w:r>
    </w:p>
    <w:p w:rsidR="008A30C4" w:rsidRDefault="00F14256" w:rsidP="00F83044">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计量特性：</w:t>
      </w:r>
    </w:p>
    <w:p w:rsidR="008A30C4" w:rsidRDefault="00F14256" w:rsidP="00F83044">
      <w:pPr>
        <w:spacing w:line="360" w:lineRule="auto"/>
        <w:ind w:firstLineChars="200" w:firstLine="560"/>
        <w:rPr>
          <w:rFonts w:ascii="宋体" w:hAnsi="宋体"/>
          <w:sz w:val="28"/>
          <w:szCs w:val="28"/>
        </w:rPr>
      </w:pPr>
      <w:r>
        <w:rPr>
          <w:rFonts w:asciiTheme="minorEastAsia" w:hAnsiTheme="minorEastAsia" w:hint="eastAsia"/>
          <w:sz w:val="28"/>
          <w:szCs w:val="28"/>
        </w:rPr>
        <w:t>—— 修改了</w:t>
      </w:r>
      <w:r>
        <w:rPr>
          <w:rFonts w:ascii="宋体" w:hAnsi="宋体" w:hint="eastAsia"/>
          <w:sz w:val="28"/>
          <w:szCs w:val="28"/>
        </w:rPr>
        <w:t>主滚筒直径允许误差为0.2%。</w:t>
      </w:r>
    </w:p>
    <w:p w:rsidR="008A30C4" w:rsidRDefault="00F14256" w:rsidP="00F83044">
      <w:pPr>
        <w:spacing w:line="360" w:lineRule="auto"/>
        <w:ind w:firstLineChars="200" w:firstLine="560"/>
        <w:rPr>
          <w:rFonts w:ascii="宋体" w:hAnsi="宋体"/>
          <w:sz w:val="28"/>
          <w:szCs w:val="28"/>
        </w:rPr>
      </w:pPr>
      <w:r>
        <w:rPr>
          <w:rFonts w:ascii="宋体" w:hAnsi="宋体" w:hint="eastAsia"/>
          <w:sz w:val="28"/>
          <w:szCs w:val="28"/>
        </w:rPr>
        <w:t>说明：445规定为</w:t>
      </w:r>
      <w:r>
        <w:rPr>
          <w:rFonts w:asciiTheme="minorEastAsia" w:hAnsiTheme="minorEastAsia" w:hint="eastAsia"/>
          <w:sz w:val="28"/>
          <w:szCs w:val="28"/>
        </w:rPr>
        <w:t>±</w:t>
      </w:r>
      <w:r>
        <w:rPr>
          <w:rFonts w:ascii="宋体" w:hAnsi="宋体" w:hint="eastAsia"/>
          <w:sz w:val="28"/>
          <w:szCs w:val="28"/>
        </w:rPr>
        <w:t>0.2</w:t>
      </w:r>
      <w:r w:rsidR="00B644FD">
        <w:rPr>
          <w:rFonts w:ascii="宋体" w:hAnsi="宋体" w:hint="eastAsia"/>
          <w:sz w:val="28"/>
          <w:szCs w:val="28"/>
        </w:rPr>
        <w:t xml:space="preserve"> </w:t>
      </w:r>
      <w:r>
        <w:rPr>
          <w:rFonts w:ascii="宋体" w:hAnsi="宋体" w:hint="eastAsia"/>
          <w:sz w:val="28"/>
          <w:szCs w:val="28"/>
        </w:rPr>
        <w:t>mm，按照0.2/216=0.1%,结合合格率与准确度，我们设定为0.2%。</w:t>
      </w:r>
    </w:p>
    <w:p w:rsidR="008A30C4" w:rsidRDefault="00F14256" w:rsidP="00F83044">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——调整了两轴式底盘测功机前后滚筒和三轴式底盘测功机第1、第2轴滚筒母线平行度不大于1</w:t>
      </w:r>
      <w:r w:rsidR="00B644FD">
        <w:rPr>
          <w:rFonts w:asciiTheme="minorEastAsia" w:hAnsiTheme="minorEastAsia" w:hint="eastAsia"/>
          <w:sz w:val="28"/>
          <w:szCs w:val="28"/>
        </w:rPr>
        <w:t xml:space="preserve"> </w:t>
      </w:r>
      <w:r>
        <w:rPr>
          <w:rFonts w:asciiTheme="minorEastAsia" w:hAnsiTheme="minorEastAsia" w:hint="eastAsia"/>
          <w:sz w:val="28"/>
          <w:szCs w:val="28"/>
        </w:rPr>
        <w:t>mm/m，三轴式底盘测功机第2、第3轴的滚筒母线平行度不大于3</w:t>
      </w:r>
      <w:r w:rsidR="00B644FD">
        <w:rPr>
          <w:rFonts w:asciiTheme="minorEastAsia" w:hAnsiTheme="minorEastAsia" w:hint="eastAsia"/>
          <w:sz w:val="28"/>
          <w:szCs w:val="28"/>
        </w:rPr>
        <w:t xml:space="preserve"> </w:t>
      </w:r>
      <w:r>
        <w:rPr>
          <w:rFonts w:asciiTheme="minorEastAsia" w:hAnsiTheme="minorEastAsia" w:hint="eastAsia"/>
          <w:sz w:val="28"/>
          <w:szCs w:val="28"/>
        </w:rPr>
        <w:t>mm/m。</w:t>
      </w:r>
    </w:p>
    <w:p w:rsidR="008A30C4" w:rsidRDefault="00F14256" w:rsidP="00F83044">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说明：第三轴往往是独立的模块，安装后第二轴和第三轴的滚筒平行度很难达到1</w:t>
      </w:r>
      <w:r w:rsidR="00B644FD">
        <w:rPr>
          <w:rFonts w:asciiTheme="minorEastAsia" w:hAnsiTheme="minorEastAsia" w:hint="eastAsia"/>
          <w:sz w:val="28"/>
          <w:szCs w:val="28"/>
        </w:rPr>
        <w:t xml:space="preserve"> </w:t>
      </w:r>
      <w:r>
        <w:rPr>
          <w:rFonts w:asciiTheme="minorEastAsia" w:hAnsiTheme="minorEastAsia" w:hint="eastAsia"/>
          <w:sz w:val="28"/>
          <w:szCs w:val="28"/>
        </w:rPr>
        <w:t>mm/m。JT∕T 445-2021 《汽车底盘测功机》对两轴和三轴分别给出了平行度指标为1</w:t>
      </w:r>
      <w:r w:rsidR="00B644FD">
        <w:rPr>
          <w:rFonts w:asciiTheme="minorEastAsia" w:hAnsiTheme="minorEastAsia" w:hint="eastAsia"/>
          <w:sz w:val="28"/>
          <w:szCs w:val="28"/>
        </w:rPr>
        <w:t xml:space="preserve"> </w:t>
      </w:r>
      <w:r>
        <w:rPr>
          <w:rFonts w:asciiTheme="minorEastAsia" w:hAnsiTheme="minorEastAsia" w:hint="eastAsia"/>
          <w:sz w:val="28"/>
          <w:szCs w:val="28"/>
        </w:rPr>
        <w:t>mm/m和3</w:t>
      </w:r>
      <w:r w:rsidR="00B644FD">
        <w:rPr>
          <w:rFonts w:asciiTheme="minorEastAsia" w:hAnsiTheme="minorEastAsia" w:hint="eastAsia"/>
          <w:sz w:val="28"/>
          <w:szCs w:val="28"/>
        </w:rPr>
        <w:t xml:space="preserve"> </w:t>
      </w:r>
      <w:r>
        <w:rPr>
          <w:rFonts w:asciiTheme="minorEastAsia" w:hAnsiTheme="minorEastAsia" w:hint="eastAsia"/>
          <w:sz w:val="28"/>
          <w:szCs w:val="28"/>
        </w:rPr>
        <w:t>mm/m。</w:t>
      </w:r>
    </w:p>
    <w:p w:rsidR="008A30C4" w:rsidRDefault="00F14256" w:rsidP="00F83044">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 速度测量：修改主滚筒线速度误差：±0.2</w:t>
      </w:r>
      <w:r w:rsidR="00B644FD">
        <w:rPr>
          <w:rFonts w:asciiTheme="minorEastAsia" w:hAnsiTheme="minorEastAsia" w:hint="eastAsia"/>
          <w:sz w:val="28"/>
          <w:szCs w:val="28"/>
        </w:rPr>
        <w:t xml:space="preserve"> </w:t>
      </w:r>
      <w:r>
        <w:rPr>
          <w:rFonts w:asciiTheme="minorEastAsia" w:hAnsiTheme="minorEastAsia" w:hint="eastAsia"/>
          <w:sz w:val="28"/>
          <w:szCs w:val="28"/>
        </w:rPr>
        <w:t>km/h。</w:t>
      </w:r>
    </w:p>
    <w:p w:rsidR="008A30C4" w:rsidRDefault="00F14256" w:rsidP="00F83044">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说明：GB18285稳态工况法规定速度误差为±0.5</w:t>
      </w:r>
      <w:r w:rsidR="00B644FD">
        <w:rPr>
          <w:rFonts w:asciiTheme="minorEastAsia" w:hAnsiTheme="minorEastAsia" w:hint="eastAsia"/>
          <w:sz w:val="28"/>
          <w:szCs w:val="28"/>
        </w:rPr>
        <w:t xml:space="preserve"> </w:t>
      </w:r>
      <w:r>
        <w:rPr>
          <w:rFonts w:asciiTheme="minorEastAsia" w:hAnsiTheme="minorEastAsia" w:hint="eastAsia"/>
          <w:sz w:val="28"/>
          <w:szCs w:val="28"/>
        </w:rPr>
        <w:t>km/h，瞬态工况法和简易瞬态工况法以及GB3847、JT/T445中均规定速度误差为±0.2</w:t>
      </w:r>
      <w:r w:rsidR="00B644FD">
        <w:rPr>
          <w:rFonts w:asciiTheme="minorEastAsia" w:hAnsiTheme="minorEastAsia" w:hint="eastAsia"/>
          <w:sz w:val="28"/>
          <w:szCs w:val="28"/>
        </w:rPr>
        <w:t xml:space="preserve"> </w:t>
      </w:r>
      <w:r>
        <w:rPr>
          <w:rFonts w:asciiTheme="minorEastAsia" w:hAnsiTheme="minorEastAsia" w:hint="eastAsia"/>
          <w:sz w:val="28"/>
          <w:szCs w:val="28"/>
        </w:rPr>
        <w:t>km/h。虽然GB18285规定AMS速度误差是±0.5</w:t>
      </w:r>
      <w:r w:rsidR="00B644FD">
        <w:rPr>
          <w:rFonts w:asciiTheme="minorEastAsia" w:hAnsiTheme="minorEastAsia" w:hint="eastAsia"/>
          <w:sz w:val="28"/>
          <w:szCs w:val="28"/>
        </w:rPr>
        <w:t xml:space="preserve"> </w:t>
      </w:r>
      <w:r>
        <w:rPr>
          <w:rFonts w:asciiTheme="minorEastAsia" w:hAnsiTheme="minorEastAsia" w:hint="eastAsia"/>
          <w:sz w:val="28"/>
          <w:szCs w:val="28"/>
        </w:rPr>
        <w:t>km/h，但是AMS测功机往往与柴油车共用，因此统一要求±0.2</w:t>
      </w:r>
      <w:r w:rsidR="00B644FD">
        <w:rPr>
          <w:rFonts w:asciiTheme="minorEastAsia" w:hAnsiTheme="minorEastAsia" w:hint="eastAsia"/>
          <w:sz w:val="28"/>
          <w:szCs w:val="28"/>
        </w:rPr>
        <w:t xml:space="preserve"> </w:t>
      </w:r>
      <w:r>
        <w:rPr>
          <w:rFonts w:asciiTheme="minorEastAsia" w:hAnsiTheme="minorEastAsia" w:hint="eastAsia"/>
          <w:sz w:val="28"/>
          <w:szCs w:val="28"/>
        </w:rPr>
        <w:t>km/h，与原校准规范和JT/T445-2021保持一致，而且从实验数据可知，各个厂家均能达到技术指标要求。</w:t>
      </w:r>
    </w:p>
    <w:p w:rsidR="008A30C4" w:rsidRDefault="00F14256" w:rsidP="00F83044">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——修改了零值漂移为仪器漂移。</w:t>
      </w:r>
    </w:p>
    <w:p w:rsidR="008A30C4" w:rsidRDefault="00F14256" w:rsidP="00F83044">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说明：参照JJF1001-2011《通用计量术语及定义》。</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——调整扭力重复性不大于1.0%为重复性一般不超过0.6%。</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lastRenderedPageBreak/>
        <w:t>说明：扭力重复性公式中分母增加了极差参数C(1.69),因此重复性计量指标降为0.6%。</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——修改基本惯量允许误差为汽油车稳态工况法：±4.5</w:t>
      </w:r>
      <w:r w:rsidR="00B644FD">
        <w:rPr>
          <w:rFonts w:asciiTheme="minorEastAsia" w:hAnsiTheme="minorEastAsia" w:hint="eastAsia"/>
          <w:sz w:val="28"/>
          <w:szCs w:val="28"/>
        </w:rPr>
        <w:t xml:space="preserve"> </w:t>
      </w:r>
      <w:r>
        <w:rPr>
          <w:rFonts w:asciiTheme="minorEastAsia" w:hAnsiTheme="minorEastAsia" w:hint="eastAsia"/>
          <w:sz w:val="28"/>
          <w:szCs w:val="28"/>
        </w:rPr>
        <w:t>kg，汽油车瞬态工况法、简易瞬态工况法和柴油车加载减速工况法：允许误差为铭牌标称值的±2.0%。</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说明：GB18285-2018稳态工况法规定基本惯量在900kg±18</w:t>
      </w:r>
      <w:r w:rsidR="00B644FD">
        <w:rPr>
          <w:rFonts w:asciiTheme="minorEastAsia" w:hAnsiTheme="minorEastAsia" w:hint="eastAsia"/>
          <w:sz w:val="28"/>
          <w:szCs w:val="28"/>
        </w:rPr>
        <w:t xml:space="preserve"> </w:t>
      </w:r>
      <w:r>
        <w:rPr>
          <w:rFonts w:asciiTheme="minorEastAsia" w:hAnsiTheme="minorEastAsia" w:hint="eastAsia"/>
          <w:sz w:val="28"/>
          <w:szCs w:val="28"/>
        </w:rPr>
        <w:t>kg，准确度为±4.5</w:t>
      </w:r>
      <w:r w:rsidR="00B644FD">
        <w:rPr>
          <w:rFonts w:asciiTheme="minorEastAsia" w:hAnsiTheme="minorEastAsia" w:hint="eastAsia"/>
          <w:sz w:val="28"/>
          <w:szCs w:val="28"/>
        </w:rPr>
        <w:t xml:space="preserve"> </w:t>
      </w:r>
      <w:r>
        <w:rPr>
          <w:rFonts w:asciiTheme="minorEastAsia" w:hAnsiTheme="minorEastAsia" w:hint="eastAsia"/>
          <w:sz w:val="28"/>
          <w:szCs w:val="28"/>
        </w:rPr>
        <w:t>kg，瞬态工况法、简易瞬态工况法和GB3847-2018均规定为±2.0%，JT/T 445基本惯量要求同3847和18285。综合考虑，作出以上技术指标修改。</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——修改恒载荷为恒负荷，调整了恒负荷加载滑行时间允许误差：±2.0%；修改了变载荷为变负荷。</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说明：GB3847-2018与GB18285-2018均称载荷为负荷；GB18285稳态工况法和简易瞬态工况法规定恒负荷为4</w:t>
      </w:r>
      <w:r w:rsidR="00B644FD">
        <w:rPr>
          <w:rFonts w:asciiTheme="minorEastAsia" w:hAnsiTheme="minorEastAsia" w:hint="eastAsia"/>
          <w:sz w:val="28"/>
          <w:szCs w:val="28"/>
        </w:rPr>
        <w:t xml:space="preserve"> </w:t>
      </w:r>
      <w:r>
        <w:rPr>
          <w:rFonts w:asciiTheme="minorEastAsia" w:hAnsiTheme="minorEastAsia" w:hint="eastAsia"/>
          <w:sz w:val="28"/>
          <w:szCs w:val="28"/>
        </w:rPr>
        <w:t>kW和18</w:t>
      </w:r>
      <w:r w:rsidR="00B644FD">
        <w:rPr>
          <w:rFonts w:asciiTheme="minorEastAsia" w:hAnsiTheme="minorEastAsia" w:hint="eastAsia"/>
          <w:sz w:val="28"/>
          <w:szCs w:val="28"/>
        </w:rPr>
        <w:t xml:space="preserve"> </w:t>
      </w:r>
      <w:r>
        <w:rPr>
          <w:rFonts w:asciiTheme="minorEastAsia" w:hAnsiTheme="minorEastAsia" w:hint="eastAsia"/>
          <w:sz w:val="28"/>
          <w:szCs w:val="28"/>
        </w:rPr>
        <w:t>kW时，加载滑行时间允许误差：±4.0%，恒负荷为11</w:t>
      </w:r>
      <w:r w:rsidR="00B644FD">
        <w:rPr>
          <w:rFonts w:asciiTheme="minorEastAsia" w:hAnsiTheme="minorEastAsia" w:hint="eastAsia"/>
          <w:sz w:val="28"/>
          <w:szCs w:val="28"/>
        </w:rPr>
        <w:t xml:space="preserve"> </w:t>
      </w:r>
      <w:r>
        <w:rPr>
          <w:rFonts w:asciiTheme="minorEastAsia" w:hAnsiTheme="minorEastAsia" w:hint="eastAsia"/>
          <w:sz w:val="28"/>
          <w:szCs w:val="28"/>
        </w:rPr>
        <w:t>kW时，加载滑行时间允许误差：±2.0%；GB3847规定恒负荷为30</w:t>
      </w:r>
      <w:r w:rsidR="00B644FD">
        <w:rPr>
          <w:rFonts w:asciiTheme="minorEastAsia" w:hAnsiTheme="minorEastAsia" w:hint="eastAsia"/>
          <w:sz w:val="28"/>
          <w:szCs w:val="28"/>
        </w:rPr>
        <w:t xml:space="preserve"> </w:t>
      </w:r>
      <w:r>
        <w:rPr>
          <w:rFonts w:asciiTheme="minorEastAsia" w:hAnsiTheme="minorEastAsia" w:hint="eastAsia"/>
          <w:sz w:val="28"/>
          <w:szCs w:val="28"/>
        </w:rPr>
        <w:t>kW时，加载滑行时间允许误差：±4.0%，恒负荷为10</w:t>
      </w:r>
      <w:r w:rsidR="00B644FD">
        <w:rPr>
          <w:rFonts w:asciiTheme="minorEastAsia" w:hAnsiTheme="minorEastAsia" w:hint="eastAsia"/>
          <w:sz w:val="28"/>
          <w:szCs w:val="28"/>
        </w:rPr>
        <w:t xml:space="preserve"> </w:t>
      </w:r>
      <w:r>
        <w:rPr>
          <w:rFonts w:asciiTheme="minorEastAsia" w:hAnsiTheme="minorEastAsia" w:hint="eastAsia"/>
          <w:sz w:val="28"/>
          <w:szCs w:val="28"/>
        </w:rPr>
        <w:t>kW和20</w:t>
      </w:r>
      <w:r w:rsidR="00B644FD">
        <w:rPr>
          <w:rFonts w:asciiTheme="minorEastAsia" w:hAnsiTheme="minorEastAsia" w:hint="eastAsia"/>
          <w:sz w:val="28"/>
          <w:szCs w:val="28"/>
        </w:rPr>
        <w:t xml:space="preserve"> </w:t>
      </w:r>
      <w:r>
        <w:rPr>
          <w:rFonts w:asciiTheme="minorEastAsia" w:hAnsiTheme="minorEastAsia" w:hint="eastAsia"/>
          <w:sz w:val="28"/>
          <w:szCs w:val="28"/>
        </w:rPr>
        <w:t>kW时，加载滑行时间允许误差：±2.0%，测功机至少在（80-10）km/h，以20</w:t>
      </w:r>
      <w:r w:rsidR="00B644FD">
        <w:rPr>
          <w:rFonts w:asciiTheme="minorEastAsia" w:hAnsiTheme="minorEastAsia" w:hint="eastAsia"/>
          <w:sz w:val="28"/>
          <w:szCs w:val="28"/>
        </w:rPr>
        <w:t xml:space="preserve"> </w:t>
      </w:r>
      <w:r>
        <w:rPr>
          <w:rFonts w:asciiTheme="minorEastAsia" w:hAnsiTheme="minorEastAsia" w:hint="eastAsia"/>
          <w:sz w:val="28"/>
          <w:szCs w:val="28"/>
        </w:rPr>
        <w:t>km/h为区间段进行滑行测试。综合考虑，统一调整了恒负荷加载滑行时间允许误差：±2.0%。</w:t>
      </w:r>
    </w:p>
    <w:p w:rsidR="008A30C4" w:rsidRPr="0048592C" w:rsidRDefault="00F14256">
      <w:pPr>
        <w:spacing w:line="360" w:lineRule="auto"/>
        <w:ind w:firstLineChars="200" w:firstLine="560"/>
        <w:rPr>
          <w:rFonts w:asciiTheme="minorEastAsia" w:hAnsiTheme="minorEastAsia"/>
          <w:sz w:val="28"/>
          <w:szCs w:val="28"/>
        </w:rPr>
      </w:pPr>
      <w:r w:rsidRPr="0048592C">
        <w:rPr>
          <w:rFonts w:asciiTheme="minorEastAsia" w:hAnsiTheme="minorEastAsia" w:hint="eastAsia"/>
          <w:sz w:val="28"/>
          <w:szCs w:val="28"/>
        </w:rPr>
        <w:t>——增加了杠杆比误差。</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说明：杠杆比的准确与否，直接影响着底盘测功机的扭力校准。</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校准条件：</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——测量标准中修改准确度等级为准确度等级或最大允许误差。</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lastRenderedPageBreak/>
        <w:t>说明：标准器计量性能有最大允许误差指标。</w:t>
      </w:r>
    </w:p>
    <w:p w:rsidR="008A30C4" w:rsidRDefault="00F14256">
      <w:pPr>
        <w:spacing w:line="360" w:lineRule="auto"/>
        <w:ind w:firstLineChars="200" w:firstLine="560"/>
        <w:rPr>
          <w:rFonts w:hAnsi="宋体" w:cs="Arial"/>
          <w:sz w:val="24"/>
          <w:szCs w:val="24"/>
        </w:rPr>
      </w:pPr>
      <w:r>
        <w:rPr>
          <w:rFonts w:asciiTheme="minorEastAsia" w:hAnsiTheme="minorEastAsia" w:hint="eastAsia"/>
          <w:sz w:val="28"/>
          <w:szCs w:val="28"/>
        </w:rPr>
        <w:t>——调整长量爪游标卡尺或π尺二选一为都要具备；</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说明：长量爪游标卡尺还用于滚筒平行度校准，因此改为两个设备都要</w:t>
      </w:r>
      <w:bookmarkStart w:id="0" w:name="_GoBack"/>
      <w:r>
        <w:rPr>
          <w:rFonts w:asciiTheme="minorEastAsia" w:hAnsiTheme="minorEastAsia" w:hint="eastAsia"/>
          <w:sz w:val="28"/>
          <w:szCs w:val="28"/>
        </w:rPr>
        <w:t>有；</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——增加了钢卷尺；</w:t>
      </w:r>
    </w:p>
    <w:p w:rsidR="008A30C4" w:rsidRDefault="00F14256">
      <w:pPr>
        <w:spacing w:line="360" w:lineRule="auto"/>
        <w:ind w:firstLineChars="200" w:firstLine="560"/>
        <w:rPr>
          <w:rFonts w:hAnsi="宋体" w:cs="Arial"/>
          <w:sz w:val="24"/>
          <w:szCs w:val="24"/>
        </w:rPr>
      </w:pPr>
      <w:r>
        <w:rPr>
          <w:rFonts w:asciiTheme="minorEastAsia" w:hAnsiTheme="minorEastAsia" w:hint="eastAsia"/>
          <w:sz w:val="28"/>
          <w:szCs w:val="28"/>
        </w:rPr>
        <w:t>说明：增加钢卷尺用于测量</w:t>
      </w:r>
      <w:bookmarkEnd w:id="0"/>
      <w:r>
        <w:rPr>
          <w:rFonts w:asciiTheme="minorEastAsia" w:hAnsiTheme="minorEastAsia" w:hint="eastAsia"/>
          <w:sz w:val="28"/>
          <w:szCs w:val="28"/>
        </w:rPr>
        <w:t>测力臂杠杆有效长度。</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——修改百分表测量范围（0～10）mm、1级为：（0～30）mm、MPE:±0.035</w:t>
      </w:r>
      <w:r w:rsidR="00B644FD">
        <w:rPr>
          <w:rFonts w:asciiTheme="minorEastAsia" w:hAnsiTheme="minorEastAsia" w:hint="eastAsia"/>
          <w:sz w:val="28"/>
          <w:szCs w:val="28"/>
        </w:rPr>
        <w:t xml:space="preserve"> </w:t>
      </w:r>
      <w:r>
        <w:rPr>
          <w:rFonts w:asciiTheme="minorEastAsia" w:hAnsiTheme="minorEastAsia" w:hint="eastAsia"/>
          <w:sz w:val="28"/>
          <w:szCs w:val="28"/>
        </w:rPr>
        <w:t>mm；</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说明：百分表量程及最大允许误差修改是参</w:t>
      </w:r>
      <w:r w:rsidRPr="000E3552">
        <w:rPr>
          <w:rFonts w:asciiTheme="minorEastAsia" w:hAnsiTheme="minorEastAsia" w:hint="eastAsia"/>
          <w:sz w:val="28"/>
          <w:szCs w:val="28"/>
        </w:rPr>
        <w:t>照JJG379-2009大量</w:t>
      </w:r>
      <w:r>
        <w:rPr>
          <w:rFonts w:asciiTheme="minorEastAsia" w:hAnsiTheme="minorEastAsia" w:hint="eastAsia"/>
          <w:sz w:val="28"/>
          <w:szCs w:val="28"/>
        </w:rPr>
        <w:t>程百分表检定规程计量性能作出修改；</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——修改计时装置为滑行时间测试仪，计时范围为（0.1～300）s，MPE：±0.1%；</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说明：目前全国省级计量机构都采用的是滑行时间测量仪作为计时装置，为了统一溯源方式，做到量值统一，因此改计时装置为滑行时间测量仪；计时测量范围（0～150）s、MPE：±3</w:t>
      </w:r>
      <w:r w:rsidR="00B644FD">
        <w:rPr>
          <w:rFonts w:asciiTheme="minorEastAsia" w:hAnsiTheme="minorEastAsia" w:hint="eastAsia"/>
          <w:sz w:val="28"/>
          <w:szCs w:val="28"/>
        </w:rPr>
        <w:t xml:space="preserve"> </w:t>
      </w:r>
      <w:r>
        <w:rPr>
          <w:rFonts w:asciiTheme="minorEastAsia" w:hAnsiTheme="minorEastAsia" w:hint="eastAsia"/>
          <w:sz w:val="28"/>
          <w:szCs w:val="28"/>
        </w:rPr>
        <w:t>ms在实际校准工作中，许多测功机基本惯量空载运行时，超过了150</w:t>
      </w:r>
      <w:r w:rsidR="00B644FD">
        <w:rPr>
          <w:rFonts w:asciiTheme="minorEastAsia" w:hAnsiTheme="minorEastAsia" w:hint="eastAsia"/>
          <w:sz w:val="28"/>
          <w:szCs w:val="28"/>
        </w:rPr>
        <w:t xml:space="preserve"> </w:t>
      </w:r>
      <w:r>
        <w:rPr>
          <w:rFonts w:asciiTheme="minorEastAsia" w:hAnsiTheme="minorEastAsia" w:hint="eastAsia"/>
          <w:sz w:val="28"/>
          <w:szCs w:val="28"/>
        </w:rPr>
        <w:t>s，有部分设备能超过250</w:t>
      </w:r>
      <w:r w:rsidR="00B644FD">
        <w:rPr>
          <w:rFonts w:asciiTheme="minorEastAsia" w:hAnsiTheme="minorEastAsia" w:hint="eastAsia"/>
          <w:sz w:val="28"/>
          <w:szCs w:val="28"/>
        </w:rPr>
        <w:t xml:space="preserve"> </w:t>
      </w:r>
      <w:r>
        <w:rPr>
          <w:rFonts w:asciiTheme="minorEastAsia" w:hAnsiTheme="minorEastAsia" w:hint="eastAsia"/>
          <w:sz w:val="28"/>
          <w:szCs w:val="28"/>
        </w:rPr>
        <w:t>s，因此将滑行时间测量仪测量范围区间修改为（0.1～300）s；经过多次实验，标准器滑行时间检测仪超过150</w:t>
      </w:r>
      <w:r w:rsidR="00B644FD">
        <w:rPr>
          <w:rFonts w:asciiTheme="minorEastAsia" w:hAnsiTheme="minorEastAsia" w:hint="eastAsia"/>
          <w:sz w:val="28"/>
          <w:szCs w:val="28"/>
        </w:rPr>
        <w:t xml:space="preserve"> </w:t>
      </w:r>
      <w:r>
        <w:rPr>
          <w:rFonts w:asciiTheme="minorEastAsia" w:hAnsiTheme="minorEastAsia" w:hint="eastAsia"/>
          <w:sz w:val="28"/>
          <w:szCs w:val="28"/>
        </w:rPr>
        <w:t>s后,最大误差超过±3</w:t>
      </w:r>
      <w:r w:rsidR="00B644FD">
        <w:rPr>
          <w:rFonts w:asciiTheme="minorEastAsia" w:hAnsiTheme="minorEastAsia" w:hint="eastAsia"/>
          <w:sz w:val="28"/>
          <w:szCs w:val="28"/>
        </w:rPr>
        <w:t xml:space="preserve"> </w:t>
      </w:r>
      <w:r>
        <w:rPr>
          <w:rFonts w:asciiTheme="minorEastAsia" w:hAnsiTheme="minorEastAsia" w:hint="eastAsia"/>
          <w:sz w:val="28"/>
          <w:szCs w:val="28"/>
        </w:rPr>
        <w:t>ms,考虑规范规定的测功机滑行时间计量性能±2%，因而标准器定为MPE：±0.1%就可以满足开展校准工作需要。</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——修改扭力校准装置（砝码）为砝码；增加了扭力校准装置测试仪。</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lastRenderedPageBreak/>
        <w:t>说明：增加的扭力校准装置测试仪为杠杆比测量新方法所用。</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校准项目和校准方法中，进行以下修订：</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——修改了滚筒直径误差计算公式。</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说明：原规范公式修改为：</w:t>
      </w:r>
      <w:r w:rsidR="008A30C4" w:rsidRPr="008A30C4">
        <w:rPr>
          <w:rFonts w:ascii="Times New Roman"/>
          <w:b/>
          <w:position w:val="-14"/>
          <w:sz w:val="24"/>
          <w:szCs w:val="24"/>
        </w:rPr>
        <w:object w:dxaOrig="3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6.25pt" o:ole="">
            <v:imagedata r:id="rId6" o:title=""/>
          </v:shape>
          <o:OLEObject Type="Embed" ProgID="Equation.3" ShapeID="_x0000_i1025" DrawAspect="Content" ObjectID="_1731997340" r:id="rId7"/>
        </w:object>
      </w:r>
      <w:r>
        <w:rPr>
          <w:rFonts w:ascii="Times New Roman"/>
          <w:b/>
          <w:sz w:val="24"/>
          <w:szCs w:val="24"/>
        </w:rPr>
        <w:t xml:space="preserve"> = </w:t>
      </w:r>
      <w:r w:rsidR="008A30C4" w:rsidRPr="008A30C4">
        <w:rPr>
          <w:rFonts w:ascii="Times New Roman"/>
          <w:b/>
          <w:position w:val="-32"/>
          <w:sz w:val="24"/>
          <w:szCs w:val="24"/>
        </w:rPr>
        <w:object w:dxaOrig="1519" w:dyaOrig="760">
          <v:shape id="_x0000_i1026" type="#_x0000_t75" style="width:75.75pt;height:38.25pt" o:ole="">
            <v:imagedata r:id="rId8" o:title=""/>
          </v:shape>
          <o:OLEObject Type="Embed" ProgID="Equation.3" ShapeID="_x0000_i1026" DrawAspect="Content" ObjectID="_1731997341" r:id="rId9"/>
        </w:object>
      </w:r>
      <w:r>
        <w:rPr>
          <w:rFonts w:asciiTheme="minorEastAsia" w:hAnsiTheme="minorEastAsia" w:hint="eastAsia"/>
          <w:sz w:val="28"/>
          <w:szCs w:val="28"/>
        </w:rPr>
        <w:t>。</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——修改了前后滚筒内侧母线平行度计算公式。</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说明：原规范公式修改为：</w:t>
      </w:r>
      <w:r w:rsidR="008A30C4" w:rsidRPr="008A30C4">
        <w:rPr>
          <w:rFonts w:ascii="Times New Roman"/>
          <w:b/>
          <w:position w:val="-14"/>
          <w:sz w:val="24"/>
          <w:szCs w:val="24"/>
        </w:rPr>
        <w:object w:dxaOrig="340" w:dyaOrig="380">
          <v:shape id="_x0000_i1027" type="#_x0000_t75" style="width:23.25pt;height:26.25pt" o:ole="">
            <v:imagedata r:id="rId6" o:title=""/>
          </v:shape>
          <o:OLEObject Type="Embed" ProgID="Equation.3" ShapeID="_x0000_i1027" DrawAspect="Content" ObjectID="_1731997342" r:id="rId10"/>
        </w:object>
      </w:r>
      <w:r>
        <w:rPr>
          <w:rFonts w:ascii="Times New Roman"/>
          <w:b/>
          <w:sz w:val="24"/>
          <w:szCs w:val="24"/>
        </w:rPr>
        <w:t xml:space="preserve"> = </w:t>
      </w:r>
      <w:r w:rsidR="008A30C4" w:rsidRPr="008A30C4">
        <w:rPr>
          <w:rFonts w:ascii="Times New Roman"/>
          <w:b/>
          <w:position w:val="-32"/>
          <w:sz w:val="24"/>
          <w:szCs w:val="24"/>
        </w:rPr>
        <w:object w:dxaOrig="1519" w:dyaOrig="760">
          <v:shape id="_x0000_i1028" type="#_x0000_t75" style="width:75.75pt;height:38.25pt" o:ole="">
            <v:imagedata r:id="rId8" o:title=""/>
          </v:shape>
          <o:OLEObject Type="Embed" ProgID="Equation.3" ShapeID="_x0000_i1028" DrawAspect="Content" ObjectID="_1731997343" r:id="rId11"/>
        </w:object>
      </w:r>
      <w:r>
        <w:rPr>
          <w:rFonts w:asciiTheme="minorEastAsia" w:hAnsiTheme="minorEastAsia" w:hint="eastAsia"/>
          <w:sz w:val="28"/>
          <w:szCs w:val="28"/>
        </w:rPr>
        <w:t>。</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——修改速度校准点为（20、40、60、80）km/h，删除了速度示值相对误差计算公式。</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说明：速度校准点GB3847规定在（20、40、60、80）km/h校准点进行速度校准。JT/T445规定在(25、40、80)km/h进行测量。综合考虑，选定速度校准点在（20、40、60、80）km/h，因为去掉了速度相对误差，因此删除了速度相对误差计算公式。</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——调整了扭力校准点（</w:t>
      </w:r>
      <w:r>
        <w:rPr>
          <w:rFonts w:asciiTheme="minorEastAsia" w:hAnsiTheme="minorEastAsia"/>
          <w:sz w:val="28"/>
          <w:szCs w:val="28"/>
        </w:rPr>
        <w:t>满量程的</w:t>
      </w:r>
      <w:r>
        <w:rPr>
          <w:rFonts w:asciiTheme="minorEastAsia" w:hAnsiTheme="minorEastAsia" w:hint="eastAsia"/>
          <w:sz w:val="28"/>
          <w:szCs w:val="28"/>
        </w:rPr>
        <w:t>约20%、40%、60%、80%、100%）。</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说明：GB18285稳态、简易瞬态工况法规定扭力不超过±1%，简易瞬态、GB3847规定不超过±2%。同时JT/T445要求按满量程的（20、40、60、80、100）%作为校准点进行扭力测试，做出以上修改。</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——修改了扭力重复性计算公式。</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说明：采用极差法进行扭力重复性计算方法。</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——增加了基本惯量绝对误差和相对误差计算公式。</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说明：使计算结果与计量性能的基本惯量允许误差相对应。</w:t>
      </w:r>
    </w:p>
    <w:p w:rsidR="008A30C4" w:rsidRDefault="00F14256">
      <w:pPr>
        <w:spacing w:line="360" w:lineRule="auto"/>
        <w:ind w:firstLineChars="200" w:firstLine="560"/>
        <w:rPr>
          <w:rFonts w:hAnsi="宋体" w:cs="Arial"/>
          <w:sz w:val="24"/>
          <w:szCs w:val="24"/>
        </w:rPr>
      </w:pPr>
      <w:r>
        <w:rPr>
          <w:rFonts w:hint="eastAsia"/>
          <w:sz w:val="28"/>
          <w:szCs w:val="28"/>
        </w:rPr>
        <w:t>——调整恒负荷加载滑行时间总负荷为</w:t>
      </w:r>
      <w:r>
        <w:rPr>
          <w:rFonts w:hint="eastAsia"/>
          <w:sz w:val="28"/>
          <w:szCs w:val="28"/>
        </w:rPr>
        <w:t>10</w:t>
      </w:r>
      <w:r w:rsidR="00B644FD">
        <w:rPr>
          <w:rFonts w:hint="eastAsia"/>
          <w:sz w:val="28"/>
          <w:szCs w:val="28"/>
        </w:rPr>
        <w:t xml:space="preserve"> </w:t>
      </w:r>
      <w:r>
        <w:rPr>
          <w:rFonts w:hint="eastAsia"/>
          <w:sz w:val="28"/>
          <w:szCs w:val="28"/>
        </w:rPr>
        <w:t>kW</w:t>
      </w:r>
      <w:r>
        <w:rPr>
          <w:rFonts w:hint="eastAsia"/>
          <w:sz w:val="28"/>
          <w:szCs w:val="28"/>
        </w:rPr>
        <w:t>、</w:t>
      </w:r>
      <w:r>
        <w:rPr>
          <w:rFonts w:hint="eastAsia"/>
          <w:sz w:val="28"/>
          <w:szCs w:val="28"/>
        </w:rPr>
        <w:t>20</w:t>
      </w:r>
      <w:r w:rsidR="00B644FD">
        <w:rPr>
          <w:rFonts w:hint="eastAsia"/>
          <w:sz w:val="28"/>
          <w:szCs w:val="28"/>
        </w:rPr>
        <w:t xml:space="preserve"> </w:t>
      </w:r>
      <w:r>
        <w:rPr>
          <w:rFonts w:hint="eastAsia"/>
          <w:sz w:val="28"/>
          <w:szCs w:val="28"/>
        </w:rPr>
        <w:t>kW</w:t>
      </w:r>
      <w:r>
        <w:rPr>
          <w:rFonts w:hint="eastAsia"/>
          <w:sz w:val="28"/>
          <w:szCs w:val="28"/>
        </w:rPr>
        <w:t>；调整预</w:t>
      </w:r>
      <w:r>
        <w:rPr>
          <w:rFonts w:hint="eastAsia"/>
          <w:sz w:val="28"/>
          <w:szCs w:val="28"/>
        </w:rPr>
        <w:lastRenderedPageBreak/>
        <w:t>加载情况下，选择</w:t>
      </w:r>
      <w:r>
        <w:rPr>
          <w:rFonts w:asciiTheme="minorEastAsia" w:hAnsiTheme="minorEastAsia"/>
          <w:sz w:val="28"/>
          <w:szCs w:val="28"/>
        </w:rPr>
        <w:t>1</w:t>
      </w:r>
      <w:r>
        <w:rPr>
          <w:rFonts w:asciiTheme="minorEastAsia" w:hAnsiTheme="minorEastAsia" w:hint="eastAsia"/>
          <w:sz w:val="28"/>
          <w:szCs w:val="28"/>
        </w:rPr>
        <w:t>0</w:t>
      </w:r>
      <w:r>
        <w:rPr>
          <w:rFonts w:asciiTheme="minorEastAsia" w:hAnsiTheme="minorEastAsia"/>
          <w:sz w:val="28"/>
          <w:szCs w:val="28"/>
        </w:rPr>
        <w:t>.0</w:t>
      </w:r>
      <w:r w:rsidR="00B644FD">
        <w:rPr>
          <w:rFonts w:asciiTheme="minorEastAsia" w:hAnsiTheme="minorEastAsia" w:hint="eastAsia"/>
          <w:sz w:val="28"/>
          <w:szCs w:val="28"/>
        </w:rPr>
        <w:t xml:space="preserve"> </w:t>
      </w:r>
      <w:r>
        <w:rPr>
          <w:rFonts w:asciiTheme="minorEastAsia" w:hAnsiTheme="minorEastAsia"/>
          <w:sz w:val="28"/>
          <w:szCs w:val="28"/>
        </w:rPr>
        <w:t>kW作为总负荷THP对底盘测功机功率吸收装置进行设定</w:t>
      </w:r>
      <w:r>
        <w:rPr>
          <w:rFonts w:hAnsi="宋体" w:cs="Arial" w:hint="eastAsia"/>
          <w:sz w:val="24"/>
          <w:szCs w:val="24"/>
        </w:rPr>
        <w:t>。</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说明：GB18285稳态工况法和简易瞬态工况法规定恒负荷为4</w:t>
      </w:r>
      <w:r w:rsidR="00B644FD">
        <w:rPr>
          <w:rFonts w:asciiTheme="minorEastAsia" w:hAnsiTheme="minorEastAsia" w:hint="eastAsia"/>
          <w:sz w:val="28"/>
          <w:szCs w:val="28"/>
        </w:rPr>
        <w:t xml:space="preserve"> </w:t>
      </w:r>
      <w:r>
        <w:rPr>
          <w:rFonts w:asciiTheme="minorEastAsia" w:hAnsiTheme="minorEastAsia" w:hint="eastAsia"/>
          <w:sz w:val="28"/>
          <w:szCs w:val="28"/>
        </w:rPr>
        <w:t>kW和18</w:t>
      </w:r>
      <w:r w:rsidR="00B644FD">
        <w:rPr>
          <w:rFonts w:asciiTheme="minorEastAsia" w:hAnsiTheme="minorEastAsia" w:hint="eastAsia"/>
          <w:sz w:val="28"/>
          <w:szCs w:val="28"/>
        </w:rPr>
        <w:t xml:space="preserve"> </w:t>
      </w:r>
      <w:r>
        <w:rPr>
          <w:rFonts w:asciiTheme="minorEastAsia" w:hAnsiTheme="minorEastAsia" w:hint="eastAsia"/>
          <w:sz w:val="28"/>
          <w:szCs w:val="28"/>
        </w:rPr>
        <w:t>kW时，加载滑行时间允许误差：±4.0%，恒负荷为11</w:t>
      </w:r>
      <w:r w:rsidR="00B644FD">
        <w:rPr>
          <w:rFonts w:asciiTheme="minorEastAsia" w:hAnsiTheme="minorEastAsia" w:hint="eastAsia"/>
          <w:sz w:val="28"/>
          <w:szCs w:val="28"/>
        </w:rPr>
        <w:t xml:space="preserve"> </w:t>
      </w:r>
      <w:r>
        <w:rPr>
          <w:rFonts w:asciiTheme="minorEastAsia" w:hAnsiTheme="minorEastAsia" w:hint="eastAsia"/>
          <w:sz w:val="28"/>
          <w:szCs w:val="28"/>
        </w:rPr>
        <w:t>kW时，加载滑行时间允许误差：±2.0%；GB3847规定恒负荷为30</w:t>
      </w:r>
      <w:r w:rsidR="00B644FD">
        <w:rPr>
          <w:rFonts w:asciiTheme="minorEastAsia" w:hAnsiTheme="minorEastAsia" w:hint="eastAsia"/>
          <w:sz w:val="28"/>
          <w:szCs w:val="28"/>
        </w:rPr>
        <w:t xml:space="preserve"> </w:t>
      </w:r>
      <w:r>
        <w:rPr>
          <w:rFonts w:asciiTheme="minorEastAsia" w:hAnsiTheme="minorEastAsia" w:hint="eastAsia"/>
          <w:sz w:val="28"/>
          <w:szCs w:val="28"/>
        </w:rPr>
        <w:t>kW时，加载滑行时间允许误差：±4.0%，恒负荷为10</w:t>
      </w:r>
      <w:r w:rsidR="00B644FD">
        <w:rPr>
          <w:rFonts w:asciiTheme="minorEastAsia" w:hAnsiTheme="minorEastAsia" w:hint="eastAsia"/>
          <w:sz w:val="28"/>
          <w:szCs w:val="28"/>
        </w:rPr>
        <w:t xml:space="preserve"> </w:t>
      </w:r>
      <w:r>
        <w:rPr>
          <w:rFonts w:asciiTheme="minorEastAsia" w:hAnsiTheme="minorEastAsia" w:hint="eastAsia"/>
          <w:sz w:val="28"/>
          <w:szCs w:val="28"/>
        </w:rPr>
        <w:t>kW和20</w:t>
      </w:r>
      <w:r w:rsidR="00B644FD">
        <w:rPr>
          <w:rFonts w:asciiTheme="minorEastAsia" w:hAnsiTheme="minorEastAsia" w:hint="eastAsia"/>
          <w:sz w:val="28"/>
          <w:szCs w:val="28"/>
        </w:rPr>
        <w:t xml:space="preserve"> </w:t>
      </w:r>
      <w:r>
        <w:rPr>
          <w:rFonts w:asciiTheme="minorEastAsia" w:hAnsiTheme="minorEastAsia" w:hint="eastAsia"/>
          <w:sz w:val="28"/>
          <w:szCs w:val="28"/>
        </w:rPr>
        <w:t>kW时，加载滑行时间允许误差：±2.0%，测功机至少在（80-10）km/h，以20</w:t>
      </w:r>
      <w:r w:rsidR="00B644FD">
        <w:rPr>
          <w:rFonts w:asciiTheme="minorEastAsia" w:hAnsiTheme="minorEastAsia" w:hint="eastAsia"/>
          <w:sz w:val="28"/>
          <w:szCs w:val="28"/>
        </w:rPr>
        <w:t xml:space="preserve"> </w:t>
      </w:r>
      <w:r>
        <w:rPr>
          <w:rFonts w:asciiTheme="minorEastAsia" w:hAnsiTheme="minorEastAsia" w:hint="eastAsia"/>
          <w:sz w:val="28"/>
          <w:szCs w:val="28"/>
        </w:rPr>
        <w:t>km/h为区间段进行滑行测试。HJ/T290和HJ/T292分别规定汽油车滑行时间测试区间为（48-32）km/h、（32-16）km/h，柴油车增加（64-48）km/h。</w:t>
      </w:r>
      <w:r>
        <w:rPr>
          <w:rFonts w:hint="eastAsia"/>
          <w:sz w:val="28"/>
          <w:szCs w:val="28"/>
        </w:rPr>
        <w:t>若底盘测功机通过了（</w:t>
      </w:r>
      <w:r>
        <w:rPr>
          <w:rFonts w:hint="eastAsia"/>
          <w:sz w:val="28"/>
          <w:szCs w:val="28"/>
        </w:rPr>
        <w:t>64</w:t>
      </w:r>
      <w:r>
        <w:rPr>
          <w:rFonts w:hint="eastAsia"/>
          <w:sz w:val="28"/>
          <w:szCs w:val="28"/>
        </w:rPr>
        <w:t>～</w:t>
      </w:r>
      <w:r>
        <w:rPr>
          <w:rFonts w:hint="eastAsia"/>
          <w:sz w:val="28"/>
          <w:szCs w:val="28"/>
        </w:rPr>
        <w:t>48</w:t>
      </w:r>
      <w:r>
        <w:rPr>
          <w:rFonts w:hint="eastAsia"/>
          <w:sz w:val="28"/>
          <w:szCs w:val="28"/>
        </w:rPr>
        <w:t>）</w:t>
      </w:r>
      <w:r>
        <w:rPr>
          <w:rFonts w:hint="eastAsia"/>
          <w:sz w:val="28"/>
          <w:szCs w:val="28"/>
        </w:rPr>
        <w:t>km/h</w:t>
      </w:r>
      <w:r>
        <w:rPr>
          <w:rFonts w:hint="eastAsia"/>
          <w:sz w:val="28"/>
          <w:szCs w:val="28"/>
        </w:rPr>
        <w:t>和（</w:t>
      </w:r>
      <w:r>
        <w:rPr>
          <w:rFonts w:hint="eastAsia"/>
          <w:sz w:val="28"/>
          <w:szCs w:val="28"/>
        </w:rPr>
        <w:t>48</w:t>
      </w:r>
      <w:r>
        <w:rPr>
          <w:rFonts w:hint="eastAsia"/>
          <w:sz w:val="28"/>
          <w:szCs w:val="28"/>
        </w:rPr>
        <w:t>～</w:t>
      </w:r>
      <w:r>
        <w:rPr>
          <w:rFonts w:hint="eastAsia"/>
          <w:sz w:val="28"/>
          <w:szCs w:val="28"/>
        </w:rPr>
        <w:t>32</w:t>
      </w:r>
      <w:r>
        <w:rPr>
          <w:rFonts w:hint="eastAsia"/>
          <w:sz w:val="28"/>
          <w:szCs w:val="28"/>
        </w:rPr>
        <w:t>）</w:t>
      </w:r>
      <w:r>
        <w:rPr>
          <w:rFonts w:hint="eastAsia"/>
          <w:sz w:val="28"/>
          <w:szCs w:val="28"/>
        </w:rPr>
        <w:t>km/h</w:t>
      </w:r>
      <w:r>
        <w:rPr>
          <w:rFonts w:hint="eastAsia"/>
          <w:sz w:val="28"/>
          <w:szCs w:val="28"/>
        </w:rPr>
        <w:t>的加载滑行测试，已表明底盘测功机可加载准确。</w:t>
      </w:r>
      <w:r>
        <w:rPr>
          <w:rFonts w:asciiTheme="minorEastAsia" w:hAnsiTheme="minorEastAsia" w:hint="eastAsia"/>
          <w:sz w:val="28"/>
          <w:szCs w:val="28"/>
        </w:rPr>
        <w:t>预加载选择10kW是为了与恒负荷10</w:t>
      </w:r>
      <w:r w:rsidR="00B644FD">
        <w:rPr>
          <w:rFonts w:asciiTheme="minorEastAsia" w:hAnsiTheme="minorEastAsia" w:hint="eastAsia"/>
          <w:sz w:val="28"/>
          <w:szCs w:val="28"/>
        </w:rPr>
        <w:t xml:space="preserve"> </w:t>
      </w:r>
      <w:r>
        <w:rPr>
          <w:rFonts w:asciiTheme="minorEastAsia" w:hAnsiTheme="minorEastAsia" w:hint="eastAsia"/>
          <w:sz w:val="28"/>
          <w:szCs w:val="28"/>
        </w:rPr>
        <w:t>kW、20</w:t>
      </w:r>
      <w:r w:rsidR="00B644FD">
        <w:rPr>
          <w:rFonts w:asciiTheme="minorEastAsia" w:hAnsiTheme="minorEastAsia" w:hint="eastAsia"/>
          <w:sz w:val="28"/>
          <w:szCs w:val="28"/>
        </w:rPr>
        <w:t xml:space="preserve"> </w:t>
      </w:r>
      <w:r>
        <w:rPr>
          <w:rFonts w:asciiTheme="minorEastAsia" w:hAnsiTheme="minorEastAsia" w:hint="eastAsia"/>
          <w:sz w:val="28"/>
          <w:szCs w:val="28"/>
        </w:rPr>
        <w:t>kW其中之一一致。老规范选择的是12</w:t>
      </w:r>
      <w:r w:rsidR="00B644FD">
        <w:rPr>
          <w:rFonts w:asciiTheme="minorEastAsia" w:hAnsiTheme="minorEastAsia" w:hint="eastAsia"/>
          <w:sz w:val="28"/>
          <w:szCs w:val="28"/>
        </w:rPr>
        <w:t xml:space="preserve"> </w:t>
      </w:r>
      <w:r>
        <w:rPr>
          <w:rFonts w:asciiTheme="minorEastAsia" w:hAnsiTheme="minorEastAsia" w:hint="eastAsia"/>
          <w:sz w:val="28"/>
          <w:szCs w:val="28"/>
        </w:rPr>
        <w:t>kW也是与6</w:t>
      </w:r>
      <w:r w:rsidR="00B644FD">
        <w:rPr>
          <w:rFonts w:asciiTheme="minorEastAsia" w:hAnsiTheme="minorEastAsia" w:hint="eastAsia"/>
          <w:sz w:val="28"/>
          <w:szCs w:val="28"/>
        </w:rPr>
        <w:t xml:space="preserve"> </w:t>
      </w:r>
      <w:r>
        <w:rPr>
          <w:rFonts w:asciiTheme="minorEastAsia" w:hAnsiTheme="minorEastAsia" w:hint="eastAsia"/>
          <w:sz w:val="28"/>
          <w:szCs w:val="28"/>
        </w:rPr>
        <w:t>kW、12</w:t>
      </w:r>
      <w:r w:rsidR="00B644FD">
        <w:rPr>
          <w:rFonts w:asciiTheme="minorEastAsia" w:hAnsiTheme="minorEastAsia" w:hint="eastAsia"/>
          <w:sz w:val="28"/>
          <w:szCs w:val="28"/>
        </w:rPr>
        <w:t xml:space="preserve"> </w:t>
      </w:r>
      <w:r>
        <w:rPr>
          <w:rFonts w:asciiTheme="minorEastAsia" w:hAnsiTheme="minorEastAsia" w:hint="eastAsia"/>
          <w:sz w:val="28"/>
          <w:szCs w:val="28"/>
        </w:rPr>
        <w:t>kW其中之一一致。方便数据校准和调修。</w:t>
      </w:r>
    </w:p>
    <w:p w:rsidR="008A30C4" w:rsidRDefault="00F14256">
      <w:pPr>
        <w:spacing w:line="360" w:lineRule="auto"/>
        <w:ind w:firstLineChars="200" w:firstLine="560"/>
        <w:rPr>
          <w:rFonts w:asciiTheme="minorEastAsia" w:hAnsiTheme="minorEastAsia"/>
          <w:sz w:val="28"/>
          <w:szCs w:val="28"/>
        </w:rPr>
      </w:pPr>
      <w:r>
        <w:rPr>
          <w:rFonts w:hint="eastAsia"/>
          <w:sz w:val="28"/>
          <w:szCs w:val="28"/>
        </w:rPr>
        <w:t>——修改了预加载情况下的理论滑行时间计算公式</w:t>
      </w:r>
    </w:p>
    <w:p w:rsidR="008A30C4" w:rsidRPr="009A00F7" w:rsidRDefault="00F14256" w:rsidP="003668B3">
      <w:pPr>
        <w:spacing w:line="360" w:lineRule="auto"/>
        <w:ind w:firstLineChars="200" w:firstLine="560"/>
        <w:rPr>
          <w:rFonts w:asciiTheme="minorEastAsia" w:hAnsiTheme="minorEastAsia"/>
          <w:sz w:val="28"/>
          <w:szCs w:val="28"/>
        </w:rPr>
      </w:pPr>
      <w:r>
        <w:rPr>
          <w:rFonts w:hint="eastAsia"/>
          <w:sz w:val="28"/>
          <w:szCs w:val="28"/>
        </w:rPr>
        <w:t>说明：</w:t>
      </w:r>
      <w:r w:rsidR="009A00F7">
        <w:rPr>
          <w:rFonts w:hint="eastAsia"/>
          <w:sz w:val="28"/>
          <w:szCs w:val="28"/>
        </w:rPr>
        <w:t xml:space="preserve"> </w:t>
      </w:r>
      <w:r>
        <w:rPr>
          <w:rFonts w:hint="eastAsia"/>
          <w:sz w:val="28"/>
          <w:szCs w:val="28"/>
        </w:rPr>
        <w:t>JJF1221-2009</w:t>
      </w:r>
      <w:r>
        <w:rPr>
          <w:rFonts w:asciiTheme="minorEastAsia" w:hAnsiTheme="minorEastAsia" w:hint="eastAsia"/>
          <w:sz w:val="28"/>
          <w:szCs w:val="28"/>
        </w:rPr>
        <w:t>采用四等分段计算理论滑行时间，</w:t>
      </w:r>
      <w:r w:rsidR="003668B3">
        <w:rPr>
          <w:rFonts w:asciiTheme="minorEastAsia" w:hAnsiTheme="minorEastAsia" w:hint="eastAsia"/>
          <w:sz w:val="28"/>
          <w:szCs w:val="28"/>
        </w:rPr>
        <w:t>这种四等分段方法计算出的理论滑行时间误差</w:t>
      </w:r>
      <w:r w:rsidR="00213385">
        <w:rPr>
          <w:rFonts w:asciiTheme="minorEastAsia" w:hAnsiTheme="minorEastAsia" w:hint="eastAsia"/>
          <w:sz w:val="28"/>
          <w:szCs w:val="28"/>
        </w:rPr>
        <w:t>受</w:t>
      </w:r>
      <w:r w:rsidR="00213385" w:rsidRPr="00221275">
        <w:rPr>
          <w:rFonts w:asciiTheme="minorEastAsia" w:hAnsiTheme="minorEastAsia" w:hint="eastAsia"/>
          <w:i/>
          <w:sz w:val="28"/>
          <w:szCs w:val="28"/>
        </w:rPr>
        <w:t>THP</w:t>
      </w:r>
      <w:r w:rsidR="00213385">
        <w:rPr>
          <w:rFonts w:asciiTheme="minorEastAsia" w:hAnsiTheme="minorEastAsia" w:hint="eastAsia"/>
          <w:sz w:val="28"/>
          <w:szCs w:val="28"/>
        </w:rPr>
        <w:t>的系数</w:t>
      </w:r>
      <w:r w:rsidR="001E7494">
        <w:rPr>
          <w:rFonts w:asciiTheme="minorEastAsia" w:hAnsiTheme="minorEastAsia" w:hint="eastAsia"/>
          <w:sz w:val="28"/>
          <w:szCs w:val="28"/>
        </w:rPr>
        <w:t>位</w:t>
      </w:r>
      <w:r w:rsidR="00213385">
        <w:rPr>
          <w:rFonts w:asciiTheme="minorEastAsia" w:hAnsiTheme="minorEastAsia" w:hint="eastAsia"/>
          <w:sz w:val="28"/>
          <w:szCs w:val="28"/>
        </w:rPr>
        <w:t>数影响</w:t>
      </w:r>
      <w:r w:rsidR="003668B3">
        <w:rPr>
          <w:rFonts w:asciiTheme="minorEastAsia" w:hAnsiTheme="minorEastAsia" w:hint="eastAsia"/>
          <w:sz w:val="28"/>
          <w:szCs w:val="28"/>
        </w:rPr>
        <w:t>较大。而</w:t>
      </w:r>
      <w:r w:rsidR="009A00F7">
        <w:rPr>
          <w:rFonts w:asciiTheme="minorEastAsia" w:hAnsiTheme="minorEastAsia" w:hint="eastAsia"/>
          <w:sz w:val="28"/>
          <w:szCs w:val="28"/>
        </w:rPr>
        <w:t>采用八等分段计算出的理论滑行时间误差受</w:t>
      </w:r>
      <w:r w:rsidR="009A00F7" w:rsidRPr="00221275">
        <w:rPr>
          <w:rFonts w:asciiTheme="minorEastAsia" w:hAnsiTheme="minorEastAsia" w:hint="eastAsia"/>
          <w:i/>
          <w:sz w:val="28"/>
          <w:szCs w:val="28"/>
        </w:rPr>
        <w:t>THP</w:t>
      </w:r>
      <w:r w:rsidR="009A00F7">
        <w:rPr>
          <w:rFonts w:asciiTheme="minorEastAsia" w:hAnsiTheme="minorEastAsia" w:hint="eastAsia"/>
          <w:sz w:val="28"/>
          <w:szCs w:val="28"/>
        </w:rPr>
        <w:t>系数小数位数的影响则非常小。</w:t>
      </w:r>
      <w:r w:rsidR="00F63009" w:rsidRPr="00316D85">
        <w:rPr>
          <w:rFonts w:asciiTheme="minorEastAsia" w:hAnsiTheme="minorEastAsia" w:hint="eastAsia"/>
          <w:sz w:val="28"/>
          <w:szCs w:val="28"/>
        </w:rPr>
        <w:t>由4</w:t>
      </w:r>
      <w:r w:rsidR="00B644FD">
        <w:rPr>
          <w:rFonts w:asciiTheme="minorEastAsia" w:hAnsiTheme="minorEastAsia" w:hint="eastAsia"/>
          <w:sz w:val="28"/>
          <w:szCs w:val="28"/>
        </w:rPr>
        <w:t xml:space="preserve"> </w:t>
      </w:r>
      <w:r w:rsidR="00F63009" w:rsidRPr="00316D85">
        <w:rPr>
          <w:rFonts w:ascii="宋体" w:eastAsia="宋体" w:hAnsi="宋体" w:cs="Times New Roman" w:hint="eastAsia"/>
          <w:sz w:val="28"/>
          <w:szCs w:val="28"/>
        </w:rPr>
        <w:t>km/h区间</w:t>
      </w:r>
      <w:r w:rsidR="00F63009" w:rsidRPr="00316D85">
        <w:rPr>
          <w:rFonts w:asciiTheme="minorEastAsia" w:hAnsiTheme="minorEastAsia" w:hint="eastAsia"/>
          <w:sz w:val="28"/>
          <w:szCs w:val="28"/>
        </w:rPr>
        <w:t>改为2</w:t>
      </w:r>
      <w:r w:rsidR="00B644FD">
        <w:rPr>
          <w:rFonts w:asciiTheme="minorEastAsia" w:hAnsiTheme="minorEastAsia" w:hint="eastAsia"/>
          <w:sz w:val="28"/>
          <w:szCs w:val="28"/>
        </w:rPr>
        <w:t xml:space="preserve"> </w:t>
      </w:r>
      <w:r w:rsidR="00F63009" w:rsidRPr="00316D85">
        <w:rPr>
          <w:rFonts w:ascii="宋体" w:eastAsia="宋体" w:hAnsi="宋体" w:cs="Times New Roman" w:hint="eastAsia"/>
          <w:sz w:val="28"/>
          <w:szCs w:val="28"/>
        </w:rPr>
        <w:t>km/h</w:t>
      </w:r>
      <w:r w:rsidR="00F63009" w:rsidRPr="00316D85">
        <w:rPr>
          <w:rFonts w:asciiTheme="minorEastAsia" w:hAnsiTheme="minorEastAsia" w:hint="eastAsia"/>
          <w:sz w:val="28"/>
          <w:szCs w:val="28"/>
        </w:rPr>
        <w:t>区间</w:t>
      </w:r>
      <w:r w:rsidR="00F63009" w:rsidRPr="00316D85">
        <w:rPr>
          <w:rFonts w:ascii="宋体" w:eastAsia="宋体" w:hAnsi="宋体" w:cs="Times New Roman" w:hint="eastAsia"/>
          <w:sz w:val="28"/>
          <w:szCs w:val="28"/>
        </w:rPr>
        <w:t>的滑行时间，然后再把</w:t>
      </w:r>
      <w:r w:rsidR="00F63009" w:rsidRPr="00316D85">
        <w:rPr>
          <w:rFonts w:asciiTheme="minorEastAsia" w:hAnsiTheme="minorEastAsia" w:hint="eastAsia"/>
          <w:sz w:val="28"/>
          <w:szCs w:val="28"/>
        </w:rPr>
        <w:t>（48-32）km/h的</w:t>
      </w:r>
      <w:r w:rsidR="00F63009" w:rsidRPr="00316D85">
        <w:rPr>
          <w:rFonts w:ascii="宋体" w:eastAsia="宋体" w:hAnsi="宋体" w:cs="Times New Roman" w:hint="eastAsia"/>
          <w:sz w:val="28"/>
          <w:szCs w:val="28"/>
        </w:rPr>
        <w:t>区间分成</w:t>
      </w:r>
      <w:r w:rsidR="00F63009" w:rsidRPr="00316D85">
        <w:rPr>
          <w:rFonts w:asciiTheme="minorEastAsia" w:hAnsiTheme="minorEastAsia" w:hint="eastAsia"/>
          <w:sz w:val="28"/>
          <w:szCs w:val="28"/>
        </w:rPr>
        <w:t>8个2</w:t>
      </w:r>
      <w:r w:rsidR="00B644FD">
        <w:rPr>
          <w:rFonts w:asciiTheme="minorEastAsia" w:hAnsiTheme="minorEastAsia" w:hint="eastAsia"/>
          <w:sz w:val="28"/>
          <w:szCs w:val="28"/>
        </w:rPr>
        <w:t xml:space="preserve"> </w:t>
      </w:r>
      <w:r w:rsidR="00F63009" w:rsidRPr="00316D85">
        <w:rPr>
          <w:rFonts w:ascii="宋体" w:eastAsia="宋体" w:hAnsi="宋体" w:cs="Times New Roman" w:hint="eastAsia"/>
          <w:sz w:val="28"/>
          <w:szCs w:val="28"/>
        </w:rPr>
        <w:t>km/h区间来计算理论值，再把这几个</w:t>
      </w:r>
      <w:r w:rsidR="00F63009" w:rsidRPr="00316D85">
        <w:rPr>
          <w:rFonts w:asciiTheme="minorEastAsia" w:hAnsiTheme="minorEastAsia" w:hint="eastAsia"/>
          <w:sz w:val="28"/>
          <w:szCs w:val="28"/>
        </w:rPr>
        <w:t>2</w:t>
      </w:r>
      <w:r w:rsidR="00B644FD">
        <w:rPr>
          <w:rFonts w:asciiTheme="minorEastAsia" w:hAnsiTheme="minorEastAsia" w:hint="eastAsia"/>
          <w:sz w:val="28"/>
          <w:szCs w:val="28"/>
        </w:rPr>
        <w:t xml:space="preserve"> </w:t>
      </w:r>
      <w:r w:rsidR="00F63009" w:rsidRPr="00316D85">
        <w:rPr>
          <w:rFonts w:ascii="宋体" w:eastAsia="宋体" w:hAnsi="宋体" w:cs="Times New Roman" w:hint="eastAsia"/>
          <w:sz w:val="28"/>
          <w:szCs w:val="28"/>
        </w:rPr>
        <w:t>km/h区间的理论滑行时间加起来即为整个大区间的理论滑行时间</w:t>
      </w:r>
      <w:r w:rsidR="00F63009" w:rsidRPr="000F717A">
        <w:rPr>
          <w:rFonts w:asciiTheme="minorEastAsia" w:hAnsiTheme="minorEastAsia" w:hint="eastAsia"/>
          <w:sz w:val="28"/>
          <w:szCs w:val="28"/>
        </w:rPr>
        <w:t>。</w:t>
      </w:r>
      <w:r w:rsidR="00F63009" w:rsidRPr="009A00F7">
        <w:rPr>
          <w:rFonts w:asciiTheme="minorEastAsia" w:hAnsiTheme="minorEastAsia" w:hint="eastAsia"/>
          <w:sz w:val="28"/>
          <w:szCs w:val="28"/>
        </w:rPr>
        <w:t>以</w:t>
      </w:r>
      <w:r w:rsidR="009A00F7" w:rsidRPr="00221275">
        <w:rPr>
          <w:rFonts w:asciiTheme="minorEastAsia" w:hAnsiTheme="minorEastAsia" w:hint="eastAsia"/>
          <w:i/>
          <w:sz w:val="28"/>
          <w:szCs w:val="28"/>
        </w:rPr>
        <w:t>F</w:t>
      </w:r>
      <w:r w:rsidR="009A00F7">
        <w:rPr>
          <w:rFonts w:asciiTheme="minorEastAsia" w:hAnsiTheme="minorEastAsia" w:hint="eastAsia"/>
          <w:sz w:val="28"/>
          <w:szCs w:val="28"/>
        </w:rPr>
        <w:t>:</w:t>
      </w:r>
      <w:r w:rsidR="00F63009" w:rsidRPr="009A00F7">
        <w:rPr>
          <w:rFonts w:asciiTheme="minorEastAsia" w:hAnsiTheme="minorEastAsia" w:hint="eastAsia"/>
          <w:sz w:val="28"/>
          <w:szCs w:val="28"/>
        </w:rPr>
        <w:t>600</w:t>
      </w:r>
      <w:r w:rsidR="00B644FD">
        <w:rPr>
          <w:rFonts w:asciiTheme="minorEastAsia" w:hAnsiTheme="minorEastAsia" w:hint="eastAsia"/>
          <w:sz w:val="28"/>
          <w:szCs w:val="28"/>
        </w:rPr>
        <w:t xml:space="preserve"> </w:t>
      </w:r>
      <w:r w:rsidR="00F63009" w:rsidRPr="009A00F7">
        <w:rPr>
          <w:rFonts w:asciiTheme="minorEastAsia" w:hAnsiTheme="minorEastAsia" w:hint="eastAsia"/>
          <w:sz w:val="28"/>
          <w:szCs w:val="28"/>
        </w:rPr>
        <w:t>N，</w:t>
      </w:r>
      <w:r w:rsidR="009A00F7" w:rsidRPr="00221275">
        <w:rPr>
          <w:rFonts w:asciiTheme="minorEastAsia" w:hAnsiTheme="minorEastAsia" w:hint="eastAsia"/>
          <w:i/>
          <w:sz w:val="28"/>
          <w:szCs w:val="28"/>
        </w:rPr>
        <w:t>DIW</w:t>
      </w:r>
      <w:r w:rsidR="009A00F7">
        <w:rPr>
          <w:rFonts w:asciiTheme="minorEastAsia" w:hAnsiTheme="minorEastAsia" w:hint="eastAsia"/>
          <w:sz w:val="28"/>
          <w:szCs w:val="28"/>
        </w:rPr>
        <w:t>:</w:t>
      </w:r>
      <w:r w:rsidR="00F63009" w:rsidRPr="009A00F7">
        <w:rPr>
          <w:rFonts w:asciiTheme="minorEastAsia" w:hAnsiTheme="minorEastAsia" w:hint="eastAsia"/>
          <w:sz w:val="28"/>
          <w:szCs w:val="28"/>
        </w:rPr>
        <w:t>907</w:t>
      </w:r>
      <w:r w:rsidR="00B644FD">
        <w:rPr>
          <w:rFonts w:asciiTheme="minorEastAsia" w:hAnsiTheme="minorEastAsia" w:hint="eastAsia"/>
          <w:sz w:val="28"/>
          <w:szCs w:val="28"/>
        </w:rPr>
        <w:t xml:space="preserve"> </w:t>
      </w:r>
      <w:r w:rsidR="00F63009" w:rsidRPr="009A00F7">
        <w:rPr>
          <w:rFonts w:asciiTheme="minorEastAsia" w:hAnsiTheme="minorEastAsia" w:hint="eastAsia"/>
          <w:sz w:val="28"/>
          <w:szCs w:val="28"/>
        </w:rPr>
        <w:t>kg，</w:t>
      </w:r>
      <w:r w:rsidR="009A00F7" w:rsidRPr="00221275">
        <w:rPr>
          <w:rFonts w:asciiTheme="minorEastAsia" w:hAnsiTheme="minorEastAsia" w:hint="eastAsia"/>
          <w:i/>
          <w:sz w:val="28"/>
          <w:szCs w:val="28"/>
        </w:rPr>
        <w:t>THP</w:t>
      </w:r>
      <w:r w:rsidR="009A00F7">
        <w:rPr>
          <w:rFonts w:asciiTheme="minorEastAsia" w:hAnsiTheme="minorEastAsia" w:hint="eastAsia"/>
          <w:sz w:val="28"/>
          <w:szCs w:val="28"/>
        </w:rPr>
        <w:t>:</w:t>
      </w:r>
      <w:r w:rsidR="00F63009" w:rsidRPr="009A00F7">
        <w:rPr>
          <w:rFonts w:asciiTheme="minorEastAsia" w:hAnsiTheme="minorEastAsia" w:hint="eastAsia"/>
          <w:sz w:val="28"/>
          <w:szCs w:val="28"/>
        </w:rPr>
        <w:t>10</w:t>
      </w:r>
      <w:r w:rsidR="00B644FD">
        <w:rPr>
          <w:rFonts w:asciiTheme="minorEastAsia" w:hAnsiTheme="minorEastAsia" w:hint="eastAsia"/>
          <w:sz w:val="28"/>
          <w:szCs w:val="28"/>
        </w:rPr>
        <w:t xml:space="preserve"> </w:t>
      </w:r>
      <w:r w:rsidR="00F63009" w:rsidRPr="009A00F7">
        <w:rPr>
          <w:rFonts w:asciiTheme="minorEastAsia" w:hAnsiTheme="minorEastAsia" w:hint="eastAsia"/>
          <w:sz w:val="28"/>
          <w:szCs w:val="28"/>
        </w:rPr>
        <w:t>kW为例，</w:t>
      </w:r>
      <w:r w:rsidR="00022498" w:rsidRPr="009A00F7">
        <w:rPr>
          <w:rFonts w:asciiTheme="minorEastAsia" w:hAnsiTheme="minorEastAsia" w:hint="eastAsia"/>
          <w:sz w:val="28"/>
          <w:szCs w:val="28"/>
        </w:rPr>
        <w:t>采用四分段整数位数，计算出时间为8.786563</w:t>
      </w:r>
      <w:r w:rsidR="00B644FD">
        <w:rPr>
          <w:rFonts w:asciiTheme="minorEastAsia" w:hAnsiTheme="minorEastAsia" w:hint="eastAsia"/>
          <w:sz w:val="28"/>
          <w:szCs w:val="28"/>
        </w:rPr>
        <w:t xml:space="preserve"> </w:t>
      </w:r>
      <w:r w:rsidR="00022498" w:rsidRPr="009A00F7">
        <w:rPr>
          <w:rFonts w:asciiTheme="minorEastAsia" w:hAnsiTheme="minorEastAsia" w:hint="eastAsia"/>
          <w:sz w:val="28"/>
          <w:szCs w:val="28"/>
        </w:rPr>
        <w:t>s，采用</w:t>
      </w:r>
      <w:r w:rsidR="00413CDA" w:rsidRPr="009A00F7">
        <w:rPr>
          <w:rFonts w:asciiTheme="minorEastAsia" w:hAnsiTheme="minorEastAsia" w:hint="eastAsia"/>
          <w:sz w:val="28"/>
          <w:szCs w:val="28"/>
        </w:rPr>
        <w:t>四分段</w:t>
      </w:r>
      <w:r w:rsidR="00022498" w:rsidRPr="009A00F7">
        <w:rPr>
          <w:rFonts w:asciiTheme="minorEastAsia" w:hAnsiTheme="minorEastAsia" w:hint="eastAsia"/>
          <w:sz w:val="28"/>
          <w:szCs w:val="28"/>
        </w:rPr>
        <w:t>两位小数</w:t>
      </w:r>
      <w:r w:rsidR="00A51743">
        <w:rPr>
          <w:rFonts w:asciiTheme="minorEastAsia" w:hAnsiTheme="minorEastAsia" w:hint="eastAsia"/>
          <w:sz w:val="28"/>
          <w:szCs w:val="28"/>
        </w:rPr>
        <w:t>，</w:t>
      </w:r>
      <w:r w:rsidR="00022498" w:rsidRPr="009A00F7">
        <w:rPr>
          <w:rFonts w:asciiTheme="minorEastAsia" w:hAnsiTheme="minorEastAsia" w:hint="eastAsia"/>
          <w:sz w:val="28"/>
          <w:szCs w:val="28"/>
        </w:rPr>
        <w:t>计算出</w:t>
      </w:r>
      <w:r w:rsidR="00022498" w:rsidRPr="009A00F7">
        <w:rPr>
          <w:rFonts w:asciiTheme="minorEastAsia" w:hAnsiTheme="minorEastAsia" w:hint="eastAsia"/>
          <w:sz w:val="28"/>
          <w:szCs w:val="28"/>
        </w:rPr>
        <w:lastRenderedPageBreak/>
        <w:t>时间为</w:t>
      </w:r>
      <w:r w:rsidR="00E8650C" w:rsidRPr="009A00F7">
        <w:rPr>
          <w:rFonts w:asciiTheme="minorEastAsia" w:hAnsiTheme="minorEastAsia" w:hint="eastAsia"/>
          <w:sz w:val="28"/>
          <w:szCs w:val="28"/>
        </w:rPr>
        <w:t>8.704232</w:t>
      </w:r>
      <w:r w:rsidR="00B644FD">
        <w:rPr>
          <w:rFonts w:asciiTheme="minorEastAsia" w:hAnsiTheme="minorEastAsia" w:hint="eastAsia"/>
          <w:sz w:val="28"/>
          <w:szCs w:val="28"/>
        </w:rPr>
        <w:t xml:space="preserve"> </w:t>
      </w:r>
      <w:r w:rsidR="00E8650C" w:rsidRPr="009A00F7">
        <w:rPr>
          <w:rFonts w:asciiTheme="minorEastAsia" w:hAnsiTheme="minorEastAsia" w:hint="eastAsia"/>
          <w:sz w:val="28"/>
          <w:szCs w:val="28"/>
        </w:rPr>
        <w:t>s</w:t>
      </w:r>
      <w:r w:rsidR="00413CDA" w:rsidRPr="009A00F7">
        <w:rPr>
          <w:rFonts w:asciiTheme="minorEastAsia" w:hAnsiTheme="minorEastAsia" w:hint="eastAsia"/>
          <w:sz w:val="28"/>
          <w:szCs w:val="28"/>
        </w:rPr>
        <w:t>；</w:t>
      </w:r>
      <w:r w:rsidR="00E8650C" w:rsidRPr="009A00F7">
        <w:rPr>
          <w:rFonts w:asciiTheme="minorEastAsia" w:hAnsiTheme="minorEastAsia" w:hint="eastAsia"/>
          <w:sz w:val="28"/>
          <w:szCs w:val="28"/>
        </w:rPr>
        <w:t>采用八分段整数位数，计算出时间为8.717332</w:t>
      </w:r>
      <w:r w:rsidR="00B644FD">
        <w:rPr>
          <w:rFonts w:asciiTheme="minorEastAsia" w:hAnsiTheme="minorEastAsia" w:hint="eastAsia"/>
          <w:sz w:val="28"/>
          <w:szCs w:val="28"/>
        </w:rPr>
        <w:t xml:space="preserve"> </w:t>
      </w:r>
      <w:r w:rsidR="00E8650C" w:rsidRPr="009A00F7">
        <w:rPr>
          <w:rFonts w:asciiTheme="minorEastAsia" w:hAnsiTheme="minorEastAsia" w:hint="eastAsia"/>
          <w:sz w:val="28"/>
          <w:szCs w:val="28"/>
        </w:rPr>
        <w:t>s，采用两位小数</w:t>
      </w:r>
      <w:r w:rsidR="00A51743">
        <w:rPr>
          <w:rFonts w:asciiTheme="minorEastAsia" w:hAnsiTheme="minorEastAsia" w:hint="eastAsia"/>
          <w:sz w:val="28"/>
          <w:szCs w:val="28"/>
        </w:rPr>
        <w:t>，计算出时间为</w:t>
      </w:r>
      <w:r w:rsidR="00E8650C" w:rsidRPr="009A00F7">
        <w:rPr>
          <w:rFonts w:asciiTheme="minorEastAsia" w:hAnsiTheme="minorEastAsia" w:hint="eastAsia"/>
          <w:sz w:val="28"/>
          <w:szCs w:val="28"/>
        </w:rPr>
        <w:t>8.71991</w:t>
      </w:r>
      <w:r w:rsidR="00B644FD">
        <w:rPr>
          <w:rFonts w:asciiTheme="minorEastAsia" w:hAnsiTheme="minorEastAsia" w:hint="eastAsia"/>
          <w:sz w:val="28"/>
          <w:szCs w:val="28"/>
        </w:rPr>
        <w:t xml:space="preserve"> </w:t>
      </w:r>
      <w:r w:rsidR="00E8650C" w:rsidRPr="009A00F7">
        <w:rPr>
          <w:rFonts w:asciiTheme="minorEastAsia" w:hAnsiTheme="minorEastAsia" w:hint="eastAsia"/>
          <w:sz w:val="28"/>
          <w:szCs w:val="28"/>
        </w:rPr>
        <w:t>s</w:t>
      </w:r>
      <w:r w:rsidR="00413CDA" w:rsidRPr="009A00F7">
        <w:rPr>
          <w:rFonts w:asciiTheme="minorEastAsia" w:hAnsiTheme="minorEastAsia" w:hint="eastAsia"/>
          <w:sz w:val="28"/>
          <w:szCs w:val="28"/>
        </w:rPr>
        <w:t>。由此可</w:t>
      </w:r>
      <w:r w:rsidR="00A51743">
        <w:rPr>
          <w:rFonts w:asciiTheme="minorEastAsia" w:hAnsiTheme="minorEastAsia" w:hint="eastAsia"/>
          <w:sz w:val="28"/>
          <w:szCs w:val="28"/>
        </w:rPr>
        <w:t>算</w:t>
      </w:r>
      <w:r w:rsidR="00413CDA" w:rsidRPr="009A00F7">
        <w:rPr>
          <w:rFonts w:asciiTheme="minorEastAsia" w:hAnsiTheme="minorEastAsia" w:hint="eastAsia"/>
          <w:sz w:val="28"/>
          <w:szCs w:val="28"/>
        </w:rPr>
        <w:t>出，</w:t>
      </w:r>
      <w:r w:rsidR="00F63009" w:rsidRPr="009A00F7">
        <w:rPr>
          <w:rFonts w:asciiTheme="minorEastAsia" w:hAnsiTheme="minorEastAsia" w:hint="eastAsia"/>
          <w:sz w:val="28"/>
          <w:szCs w:val="28"/>
        </w:rPr>
        <w:t>采用</w:t>
      </w:r>
      <w:r w:rsidR="00022498" w:rsidRPr="009A00F7">
        <w:rPr>
          <w:rFonts w:asciiTheme="minorEastAsia" w:hAnsiTheme="minorEastAsia" w:hint="eastAsia"/>
          <w:sz w:val="28"/>
          <w:szCs w:val="28"/>
        </w:rPr>
        <w:t>四分段，两位小数比整数位数误差降低0.94%，采用八分段整数位数比八分段两位小数误差只大了0.03%</w:t>
      </w:r>
      <w:r w:rsidR="001966DE" w:rsidRPr="009A00F7">
        <w:rPr>
          <w:rFonts w:asciiTheme="minorEastAsia" w:hAnsiTheme="minorEastAsia" w:hint="eastAsia"/>
          <w:sz w:val="28"/>
          <w:szCs w:val="28"/>
        </w:rPr>
        <w:t>，八分段</w:t>
      </w:r>
      <w:r w:rsidR="00022498" w:rsidRPr="009A00F7">
        <w:rPr>
          <w:rFonts w:asciiTheme="minorEastAsia" w:hAnsiTheme="minorEastAsia" w:hint="eastAsia"/>
          <w:sz w:val="28"/>
          <w:szCs w:val="28"/>
        </w:rPr>
        <w:t>整数位数</w:t>
      </w:r>
      <w:r w:rsidR="00F63009" w:rsidRPr="009A00F7">
        <w:rPr>
          <w:rFonts w:asciiTheme="minorEastAsia" w:hAnsiTheme="minorEastAsia" w:hint="eastAsia"/>
          <w:sz w:val="28"/>
          <w:szCs w:val="28"/>
        </w:rPr>
        <w:t>比原来的四分段整数位数误差降低</w:t>
      </w:r>
      <w:r w:rsidR="001966DE" w:rsidRPr="009A00F7">
        <w:rPr>
          <w:rFonts w:asciiTheme="minorEastAsia" w:hAnsiTheme="minorEastAsia" w:hint="eastAsia"/>
          <w:sz w:val="28"/>
          <w:szCs w:val="28"/>
        </w:rPr>
        <w:t>0.79</w:t>
      </w:r>
      <w:r w:rsidR="00F63009" w:rsidRPr="009A00F7">
        <w:rPr>
          <w:rFonts w:asciiTheme="minorEastAsia" w:hAnsiTheme="minorEastAsia" w:hint="eastAsia"/>
          <w:sz w:val="28"/>
          <w:szCs w:val="28"/>
        </w:rPr>
        <w:t>%，比原来四分段两位小数，误差降低0.</w:t>
      </w:r>
      <w:r w:rsidR="007A57BD" w:rsidRPr="009A00F7">
        <w:rPr>
          <w:rFonts w:asciiTheme="minorEastAsia" w:hAnsiTheme="minorEastAsia" w:hint="eastAsia"/>
          <w:sz w:val="28"/>
          <w:szCs w:val="28"/>
        </w:rPr>
        <w:t>15</w:t>
      </w:r>
      <w:r w:rsidR="00F63009" w:rsidRPr="009A00F7">
        <w:rPr>
          <w:rFonts w:asciiTheme="minorEastAsia" w:hAnsiTheme="minorEastAsia" w:hint="eastAsia"/>
          <w:sz w:val="28"/>
          <w:szCs w:val="28"/>
        </w:rPr>
        <w:t>%。</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——调整了变负荷加载滑行时间测量段，选取（80.5～8.0）km/h、（72.4～16.1）km/h、（61.1～43.4）km/h作为测量速度段。</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说明：GB18285稳态、简易瞬态工况法均规定：允许误差：±4.0%（80.5～8.0）km/h；±2.0%（72.4～16.1）km/h；±3.0%（61.1～43.4）km/h。</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——调整了规范中表3底盘测功机变加载滑行测试负荷设置和计算时间和表4底盘测功机变加载滑行测试计算时间的内容。</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说明：根据GB18285调整了JJF1221规范中表3、表4的内容。</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——删除了变负荷加载滑行时间测量时，根据不同工况法选取不同测量速度段的方法，改为对所有工况法采取了统一的速度段进行测量。</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说明：因无依据，删除了变负荷加载滑行时间测量根据不同工况法选取不同测量速度段的方法，改为对所有工况法采取了统一的速度段进行测量。</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——调整了内部损耗功率测量速度段为（50～30）km/h，修改了内部损耗功率计算公式。</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说明：GB18285稳态工况法、简易瞬态工况法规定在40</w:t>
      </w:r>
      <w:r w:rsidR="00B644FD">
        <w:rPr>
          <w:rFonts w:asciiTheme="minorEastAsia" w:hAnsiTheme="minorEastAsia" w:hint="eastAsia"/>
          <w:sz w:val="28"/>
          <w:szCs w:val="28"/>
        </w:rPr>
        <w:t xml:space="preserve"> </w:t>
      </w:r>
      <w:r>
        <w:rPr>
          <w:rFonts w:asciiTheme="minorEastAsia" w:hAnsiTheme="minorEastAsia" w:hint="eastAsia"/>
          <w:sz w:val="28"/>
          <w:szCs w:val="28"/>
        </w:rPr>
        <w:t>km/h、</w:t>
      </w:r>
      <w:r>
        <w:rPr>
          <w:rFonts w:asciiTheme="minorEastAsia" w:hAnsiTheme="minorEastAsia" w:hint="eastAsia"/>
          <w:sz w:val="28"/>
          <w:szCs w:val="28"/>
        </w:rPr>
        <w:lastRenderedPageBreak/>
        <w:t>25 km/h时，不超过2.5</w:t>
      </w:r>
      <w:r w:rsidR="00B644FD">
        <w:rPr>
          <w:rFonts w:asciiTheme="minorEastAsia" w:hAnsiTheme="minorEastAsia" w:hint="eastAsia"/>
          <w:sz w:val="28"/>
          <w:szCs w:val="28"/>
        </w:rPr>
        <w:t xml:space="preserve"> </w:t>
      </w:r>
      <w:r>
        <w:rPr>
          <w:rFonts w:asciiTheme="minorEastAsia" w:hAnsiTheme="minorEastAsia" w:hint="eastAsia"/>
          <w:sz w:val="28"/>
          <w:szCs w:val="28"/>
        </w:rPr>
        <w:t>kW。GB3847规定至少在（10-80）km/h区间，每10</w:t>
      </w:r>
      <w:r w:rsidR="00B644FD">
        <w:rPr>
          <w:rFonts w:asciiTheme="minorEastAsia" w:hAnsiTheme="minorEastAsia" w:hint="eastAsia"/>
          <w:sz w:val="28"/>
          <w:szCs w:val="28"/>
        </w:rPr>
        <w:t xml:space="preserve"> </w:t>
      </w:r>
      <w:r>
        <w:rPr>
          <w:rFonts w:asciiTheme="minorEastAsia" w:hAnsiTheme="minorEastAsia" w:hint="eastAsia"/>
          <w:sz w:val="28"/>
          <w:szCs w:val="28"/>
        </w:rPr>
        <w:t>km/h一个区间进行测量，并未给出具体指标要求。JT/T445无指标规定，只给出在（92～84）km/h、（84～76）km/h、（76～68）km/h、（68～60）km/h、（60～52）km/h计算测功机内部损耗功率：结合恒负荷加载滑行时间公式</w:t>
      </w:r>
      <w:r w:rsidR="008A30C4" w:rsidRPr="008A30C4">
        <w:rPr>
          <w:position w:val="-30"/>
          <w:sz w:val="28"/>
          <w:szCs w:val="28"/>
        </w:rPr>
        <w:object w:dxaOrig="3400" w:dyaOrig="740">
          <v:shape id="_x0000_i1029" type="#_x0000_t75" style="width:170.25pt;height:36.75pt" o:ole="">
            <v:imagedata r:id="rId12" o:title=""/>
          </v:shape>
          <o:OLEObject Type="Embed" ProgID="Equation.3" ShapeID="_x0000_i1029" DrawAspect="Content" ObjectID="_1731997344" r:id="rId13"/>
        </w:object>
      </w:r>
      <w:r>
        <w:rPr>
          <w:rFonts w:hint="eastAsia"/>
          <w:sz w:val="28"/>
          <w:szCs w:val="28"/>
        </w:rPr>
        <w:t>，</w:t>
      </w:r>
      <w:r>
        <w:rPr>
          <w:rFonts w:ascii="Times New Roman"/>
          <w:i/>
          <w:sz w:val="28"/>
          <w:szCs w:val="28"/>
        </w:rPr>
        <w:t>IHP</w:t>
      </w:r>
      <w:r>
        <w:rPr>
          <w:rFonts w:ascii="Times New Roman"/>
          <w:sz w:val="28"/>
          <w:szCs w:val="28"/>
        </w:rPr>
        <w:t>为电涡流制动器加载功率；</w:t>
      </w:r>
      <w:r>
        <w:rPr>
          <w:rFonts w:ascii="Times New Roman"/>
          <w:i/>
          <w:sz w:val="28"/>
          <w:szCs w:val="28"/>
        </w:rPr>
        <w:t>PHLP</w:t>
      </w:r>
      <w:r>
        <w:rPr>
          <w:rFonts w:ascii="Times New Roman"/>
          <w:sz w:val="28"/>
          <w:szCs w:val="28"/>
          <w:vertAlign w:val="subscript"/>
        </w:rPr>
        <w:t>40</w:t>
      </w:r>
      <w:r>
        <w:rPr>
          <w:rFonts w:ascii="Times New Roman"/>
          <w:sz w:val="28"/>
          <w:szCs w:val="28"/>
        </w:rPr>
        <w:t>为</w:t>
      </w:r>
      <w:r>
        <w:rPr>
          <w:rFonts w:ascii="Times New Roman"/>
          <w:sz w:val="28"/>
          <w:szCs w:val="28"/>
        </w:rPr>
        <w:t>40</w:t>
      </w:r>
      <w:r w:rsidR="00B644FD">
        <w:rPr>
          <w:rFonts w:ascii="Times New Roman" w:hint="eastAsia"/>
          <w:sz w:val="28"/>
          <w:szCs w:val="28"/>
        </w:rPr>
        <w:t xml:space="preserve"> </w:t>
      </w:r>
      <w:r>
        <w:rPr>
          <w:rFonts w:ascii="Times New Roman"/>
          <w:sz w:val="28"/>
          <w:szCs w:val="28"/>
        </w:rPr>
        <w:t>km/h</w:t>
      </w:r>
      <w:r>
        <w:rPr>
          <w:rFonts w:ascii="Times New Roman"/>
          <w:sz w:val="28"/>
          <w:szCs w:val="28"/>
        </w:rPr>
        <w:t>时底盘测功机摩擦功率</w:t>
      </w:r>
      <w:r>
        <w:rPr>
          <w:rFonts w:ascii="Times New Roman" w:hint="eastAsia"/>
          <w:sz w:val="28"/>
          <w:szCs w:val="28"/>
        </w:rPr>
        <w:t>。</w:t>
      </w:r>
      <w:r>
        <w:rPr>
          <w:rFonts w:hint="eastAsia"/>
          <w:sz w:val="28"/>
          <w:szCs w:val="28"/>
        </w:rPr>
        <w:t>只有计算出</w:t>
      </w:r>
      <w:r>
        <w:rPr>
          <w:rFonts w:ascii="Times New Roman"/>
          <w:i/>
          <w:sz w:val="28"/>
          <w:szCs w:val="28"/>
        </w:rPr>
        <w:t>PHLP</w:t>
      </w:r>
      <w:r>
        <w:rPr>
          <w:rFonts w:ascii="Times New Roman"/>
          <w:sz w:val="28"/>
          <w:szCs w:val="28"/>
          <w:vertAlign w:val="subscript"/>
        </w:rPr>
        <w:t>40</w:t>
      </w:r>
      <w:r>
        <w:rPr>
          <w:rFonts w:asciiTheme="minorEastAsia" w:hAnsiTheme="minorEastAsia" w:hint="eastAsia"/>
          <w:sz w:val="28"/>
          <w:szCs w:val="28"/>
        </w:rPr>
        <w:t>，才能准确的进行加载。综合考虑，取（50-30）km/h区间段作为速度为40</w:t>
      </w:r>
      <w:r w:rsidR="00B644FD">
        <w:rPr>
          <w:rFonts w:asciiTheme="minorEastAsia" w:hAnsiTheme="minorEastAsia" w:hint="eastAsia"/>
          <w:sz w:val="28"/>
          <w:szCs w:val="28"/>
        </w:rPr>
        <w:t xml:space="preserve"> </w:t>
      </w:r>
      <w:r>
        <w:rPr>
          <w:rFonts w:asciiTheme="minorEastAsia" w:hAnsiTheme="minorEastAsia" w:hint="eastAsia"/>
          <w:sz w:val="28"/>
          <w:szCs w:val="28"/>
        </w:rPr>
        <w:t>km/h的内部损耗功率。经试验验证，底盘测功机内部损耗功率均不超过1.5</w:t>
      </w:r>
      <w:r w:rsidR="00B644FD">
        <w:rPr>
          <w:rFonts w:asciiTheme="minorEastAsia" w:hAnsiTheme="minorEastAsia" w:hint="eastAsia"/>
          <w:sz w:val="28"/>
          <w:szCs w:val="28"/>
        </w:rPr>
        <w:t xml:space="preserve"> </w:t>
      </w:r>
      <w:r>
        <w:rPr>
          <w:rFonts w:asciiTheme="minorEastAsia" w:hAnsiTheme="minorEastAsia" w:hint="eastAsia"/>
          <w:sz w:val="28"/>
          <w:szCs w:val="28"/>
        </w:rPr>
        <w:t>kW。</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——修改了扭力和速度示值误差校准结果不确定度分析；增加了基本惯量测量不确定度评定；增加了推荐校准记录。</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——修改符号“PHLP”为“PLHP”。修改了其他一些表述文字。</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说明：原符号“PHLP”应为“PLHP。</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有关试验和数据介绍</w:t>
      </w:r>
    </w:p>
    <w:p w:rsidR="008A30C4" w:rsidRDefault="00F1425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2022年6月、7月、8月、9月分别对河南万国、石家庄华燕、深圳安车、济南新凌志、浙江江兴生产的底盘测功机相关指标（滚筒直径误差；速度误差；扭力示值误差、重复性、回程差；0</w:t>
      </w:r>
      <w:r w:rsidR="00B644FD">
        <w:rPr>
          <w:rFonts w:asciiTheme="minorEastAsia" w:hAnsiTheme="minorEastAsia" w:hint="eastAsia"/>
          <w:sz w:val="28"/>
          <w:szCs w:val="28"/>
        </w:rPr>
        <w:t xml:space="preserve"> </w:t>
      </w:r>
      <w:r>
        <w:rPr>
          <w:rFonts w:asciiTheme="minorEastAsia" w:hAnsiTheme="minorEastAsia" w:hint="eastAsia"/>
          <w:sz w:val="28"/>
          <w:szCs w:val="28"/>
        </w:rPr>
        <w:t>N、1170</w:t>
      </w:r>
      <w:r w:rsidR="00B644FD">
        <w:rPr>
          <w:rFonts w:asciiTheme="minorEastAsia" w:hAnsiTheme="minorEastAsia" w:hint="eastAsia"/>
          <w:sz w:val="28"/>
          <w:szCs w:val="28"/>
        </w:rPr>
        <w:t xml:space="preserve"> </w:t>
      </w:r>
      <w:r>
        <w:rPr>
          <w:rFonts w:asciiTheme="minorEastAsia" w:hAnsiTheme="minorEastAsia" w:hint="eastAsia"/>
          <w:sz w:val="28"/>
          <w:szCs w:val="28"/>
        </w:rPr>
        <w:t>N和100</w:t>
      </w:r>
      <w:r w:rsidR="00B644FD">
        <w:rPr>
          <w:rFonts w:asciiTheme="minorEastAsia" w:hAnsiTheme="minorEastAsia" w:hint="eastAsia"/>
          <w:sz w:val="28"/>
          <w:szCs w:val="28"/>
        </w:rPr>
        <w:t xml:space="preserve"> </w:t>
      </w:r>
      <w:r>
        <w:rPr>
          <w:rFonts w:asciiTheme="minorEastAsia" w:hAnsiTheme="minorEastAsia" w:hint="eastAsia"/>
          <w:sz w:val="28"/>
          <w:szCs w:val="28"/>
        </w:rPr>
        <w:t>N、1170</w:t>
      </w:r>
      <w:r w:rsidR="00B644FD">
        <w:rPr>
          <w:rFonts w:asciiTheme="minorEastAsia" w:hAnsiTheme="minorEastAsia" w:hint="eastAsia"/>
          <w:sz w:val="28"/>
          <w:szCs w:val="28"/>
        </w:rPr>
        <w:t xml:space="preserve"> </w:t>
      </w:r>
      <w:r>
        <w:rPr>
          <w:rFonts w:asciiTheme="minorEastAsia" w:hAnsiTheme="minorEastAsia" w:hint="eastAsia"/>
          <w:sz w:val="28"/>
          <w:szCs w:val="28"/>
        </w:rPr>
        <w:t>N两种加载方式的基本惯量实验；恒负荷加载滑行时间；变负荷加载滑行时间；内部损耗功率等）进行了实验，相关实验结果基本满足计量技术指标要求。</w:t>
      </w:r>
    </w:p>
    <w:p w:rsidR="008A30C4" w:rsidRDefault="00F14256">
      <w:pPr>
        <w:pStyle w:val="1"/>
        <w:spacing w:before="0" w:after="0" w:line="240" w:lineRule="auto"/>
        <w:ind w:firstLineChars="245" w:firstLine="689"/>
        <w:rPr>
          <w:rFonts w:ascii="宋体" w:hAnsi="宋体" w:cs="宋体"/>
          <w:color w:val="000000"/>
          <w:sz w:val="28"/>
          <w:szCs w:val="28"/>
        </w:rPr>
      </w:pPr>
      <w:r>
        <w:rPr>
          <w:rFonts w:ascii="宋体" w:hAnsi="宋体" w:cs="宋体" w:hint="eastAsia"/>
          <w:color w:val="000000"/>
          <w:sz w:val="28"/>
          <w:szCs w:val="28"/>
        </w:rPr>
        <w:t>六、有关问题的说明</w:t>
      </w:r>
    </w:p>
    <w:p w:rsidR="008A30C4" w:rsidRDefault="00F14256" w:rsidP="00F83044">
      <w:pPr>
        <w:spacing w:line="360" w:lineRule="auto"/>
        <w:rPr>
          <w:rFonts w:ascii="宋体" w:hAnsi="宋体" w:cs="宋体"/>
          <w:sz w:val="28"/>
          <w:szCs w:val="28"/>
        </w:rPr>
      </w:pPr>
      <w:r>
        <w:rPr>
          <w:rFonts w:ascii="宋体" w:hAnsi="宋体" w:cs="宋体" w:hint="eastAsia"/>
          <w:sz w:val="28"/>
          <w:szCs w:val="28"/>
        </w:rPr>
        <w:t>6.1规范修订标准器的选择说明：见附件1。</w:t>
      </w:r>
    </w:p>
    <w:p w:rsidR="008A30C4" w:rsidRDefault="00F14256" w:rsidP="00F83044">
      <w:pPr>
        <w:spacing w:line="360" w:lineRule="auto"/>
        <w:rPr>
          <w:rFonts w:ascii="宋体" w:hAnsi="宋体" w:cs="宋体"/>
          <w:sz w:val="28"/>
          <w:szCs w:val="28"/>
        </w:rPr>
      </w:pPr>
      <w:r>
        <w:rPr>
          <w:rFonts w:ascii="宋体" w:hAnsi="宋体" w:cs="宋体" w:hint="eastAsia"/>
          <w:sz w:val="28"/>
          <w:szCs w:val="28"/>
        </w:rPr>
        <w:lastRenderedPageBreak/>
        <w:t xml:space="preserve">     6.1 关于征求意见的情况说明    xxxxxx</w:t>
      </w:r>
    </w:p>
    <w:p w:rsidR="008A30C4" w:rsidRDefault="00F14256" w:rsidP="00F83044">
      <w:pPr>
        <w:spacing w:line="360" w:lineRule="auto"/>
        <w:rPr>
          <w:rFonts w:ascii="宋体" w:hAnsi="宋体" w:cs="宋体"/>
          <w:sz w:val="28"/>
          <w:szCs w:val="28"/>
        </w:rPr>
      </w:pPr>
      <w:r>
        <w:rPr>
          <w:rFonts w:ascii="宋体" w:hAnsi="宋体" w:cs="宋体" w:hint="eastAsia"/>
          <w:sz w:val="28"/>
          <w:szCs w:val="28"/>
        </w:rPr>
        <w:t xml:space="preserve">            《汽车排气污染物检测用底盘测功机校准规范》起草组 </w:t>
      </w:r>
    </w:p>
    <w:p w:rsidR="008A30C4" w:rsidRDefault="00F14256" w:rsidP="00F83044">
      <w:pPr>
        <w:spacing w:line="360" w:lineRule="auto"/>
        <w:jc w:val="right"/>
        <w:rPr>
          <w:rFonts w:ascii="宋体" w:hAnsi="宋体" w:cs="宋体"/>
          <w:sz w:val="28"/>
          <w:szCs w:val="28"/>
        </w:rPr>
      </w:pPr>
      <w:r>
        <w:rPr>
          <w:rFonts w:ascii="宋体" w:hAnsi="宋体" w:cs="宋体" w:hint="eastAsia"/>
          <w:sz w:val="28"/>
          <w:szCs w:val="28"/>
        </w:rPr>
        <w:t xml:space="preserve"> 2022.08.31</w:t>
      </w:r>
    </w:p>
    <w:sectPr w:rsidR="008A30C4" w:rsidSect="008A30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9CA" w:rsidRDefault="00C559CA" w:rsidP="00F63009">
      <w:r>
        <w:separator/>
      </w:r>
    </w:p>
  </w:endnote>
  <w:endnote w:type="continuationSeparator" w:id="1">
    <w:p w:rsidR="00C559CA" w:rsidRDefault="00C559CA" w:rsidP="00F630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9CA" w:rsidRDefault="00C559CA" w:rsidP="00F63009">
      <w:r>
        <w:separator/>
      </w:r>
    </w:p>
  </w:footnote>
  <w:footnote w:type="continuationSeparator" w:id="1">
    <w:p w:rsidR="00C559CA" w:rsidRDefault="00C559CA" w:rsidP="00F630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WRlM2RhNDA2MzBkN2RkZDM3NzRhOTc4YWU2ZDAyOTUifQ=="/>
  </w:docVars>
  <w:rsids>
    <w:rsidRoot w:val="008A281B"/>
    <w:rsid w:val="00022498"/>
    <w:rsid w:val="00023A5B"/>
    <w:rsid w:val="00023C47"/>
    <w:rsid w:val="00042FE1"/>
    <w:rsid w:val="00066986"/>
    <w:rsid w:val="000A5602"/>
    <w:rsid w:val="000B70FA"/>
    <w:rsid w:val="000C296F"/>
    <w:rsid w:val="000C3D5F"/>
    <w:rsid w:val="000C6ADD"/>
    <w:rsid w:val="000D73C2"/>
    <w:rsid w:val="000E3552"/>
    <w:rsid w:val="000F717A"/>
    <w:rsid w:val="00122520"/>
    <w:rsid w:val="0015296D"/>
    <w:rsid w:val="00164480"/>
    <w:rsid w:val="0016600C"/>
    <w:rsid w:val="00171015"/>
    <w:rsid w:val="00177ADF"/>
    <w:rsid w:val="00181A86"/>
    <w:rsid w:val="001925EA"/>
    <w:rsid w:val="00192FBF"/>
    <w:rsid w:val="00195EC1"/>
    <w:rsid w:val="001966DE"/>
    <w:rsid w:val="001C561C"/>
    <w:rsid w:val="001E4E62"/>
    <w:rsid w:val="001E7494"/>
    <w:rsid w:val="002116B6"/>
    <w:rsid w:val="00213385"/>
    <w:rsid w:val="00217B02"/>
    <w:rsid w:val="00221275"/>
    <w:rsid w:val="00224C44"/>
    <w:rsid w:val="00241FD9"/>
    <w:rsid w:val="00254109"/>
    <w:rsid w:val="00261534"/>
    <w:rsid w:val="00277C2E"/>
    <w:rsid w:val="00291948"/>
    <w:rsid w:val="002C61A9"/>
    <w:rsid w:val="002D7C11"/>
    <w:rsid w:val="002E2904"/>
    <w:rsid w:val="00315C80"/>
    <w:rsid w:val="00325EEC"/>
    <w:rsid w:val="00335F57"/>
    <w:rsid w:val="00343284"/>
    <w:rsid w:val="00350812"/>
    <w:rsid w:val="003668B3"/>
    <w:rsid w:val="003732A6"/>
    <w:rsid w:val="003A6EE8"/>
    <w:rsid w:val="003B1340"/>
    <w:rsid w:val="003C0E1F"/>
    <w:rsid w:val="003D0D81"/>
    <w:rsid w:val="003D11D7"/>
    <w:rsid w:val="00410A18"/>
    <w:rsid w:val="00413CDA"/>
    <w:rsid w:val="00436213"/>
    <w:rsid w:val="00447802"/>
    <w:rsid w:val="0048592C"/>
    <w:rsid w:val="004A4C39"/>
    <w:rsid w:val="004B3429"/>
    <w:rsid w:val="004C1FA5"/>
    <w:rsid w:val="004C352F"/>
    <w:rsid w:val="004E30FE"/>
    <w:rsid w:val="004E5B2C"/>
    <w:rsid w:val="0053012B"/>
    <w:rsid w:val="00540CC5"/>
    <w:rsid w:val="005668F0"/>
    <w:rsid w:val="00583F2E"/>
    <w:rsid w:val="00584A50"/>
    <w:rsid w:val="00595D95"/>
    <w:rsid w:val="005A1B23"/>
    <w:rsid w:val="005B5AB9"/>
    <w:rsid w:val="005C0779"/>
    <w:rsid w:val="005C3CBC"/>
    <w:rsid w:val="005D1FF3"/>
    <w:rsid w:val="005E1955"/>
    <w:rsid w:val="006012AE"/>
    <w:rsid w:val="006013C6"/>
    <w:rsid w:val="006114BE"/>
    <w:rsid w:val="0062014D"/>
    <w:rsid w:val="0062446D"/>
    <w:rsid w:val="00682E81"/>
    <w:rsid w:val="006927A4"/>
    <w:rsid w:val="0069391B"/>
    <w:rsid w:val="006B0AF9"/>
    <w:rsid w:val="006B7039"/>
    <w:rsid w:val="006C1BCC"/>
    <w:rsid w:val="006D136D"/>
    <w:rsid w:val="006D6B83"/>
    <w:rsid w:val="006E07AA"/>
    <w:rsid w:val="006F28E7"/>
    <w:rsid w:val="00707154"/>
    <w:rsid w:val="00714F5F"/>
    <w:rsid w:val="00761C01"/>
    <w:rsid w:val="00773A97"/>
    <w:rsid w:val="007946AD"/>
    <w:rsid w:val="007A57BD"/>
    <w:rsid w:val="007A5E5E"/>
    <w:rsid w:val="007D36A0"/>
    <w:rsid w:val="007F6718"/>
    <w:rsid w:val="00803382"/>
    <w:rsid w:val="00805573"/>
    <w:rsid w:val="008511F5"/>
    <w:rsid w:val="00853A6C"/>
    <w:rsid w:val="008674CD"/>
    <w:rsid w:val="00871F02"/>
    <w:rsid w:val="008856E7"/>
    <w:rsid w:val="00890D46"/>
    <w:rsid w:val="008A281B"/>
    <w:rsid w:val="008A30C4"/>
    <w:rsid w:val="008B0714"/>
    <w:rsid w:val="008B50C7"/>
    <w:rsid w:val="008E17B2"/>
    <w:rsid w:val="0092688F"/>
    <w:rsid w:val="00947AB7"/>
    <w:rsid w:val="00951650"/>
    <w:rsid w:val="00966392"/>
    <w:rsid w:val="009863B8"/>
    <w:rsid w:val="00987CC9"/>
    <w:rsid w:val="009A00F7"/>
    <w:rsid w:val="009B4E08"/>
    <w:rsid w:val="00A15973"/>
    <w:rsid w:val="00A2464B"/>
    <w:rsid w:val="00A51743"/>
    <w:rsid w:val="00A84319"/>
    <w:rsid w:val="00A94AFA"/>
    <w:rsid w:val="00AF4229"/>
    <w:rsid w:val="00B03EBE"/>
    <w:rsid w:val="00B25AE2"/>
    <w:rsid w:val="00B301BD"/>
    <w:rsid w:val="00B63C4F"/>
    <w:rsid w:val="00B644FD"/>
    <w:rsid w:val="00B66938"/>
    <w:rsid w:val="00B77632"/>
    <w:rsid w:val="00B808CD"/>
    <w:rsid w:val="00B87361"/>
    <w:rsid w:val="00B90529"/>
    <w:rsid w:val="00B93BD1"/>
    <w:rsid w:val="00B9562B"/>
    <w:rsid w:val="00BC7057"/>
    <w:rsid w:val="00C23E1C"/>
    <w:rsid w:val="00C2426D"/>
    <w:rsid w:val="00C559CA"/>
    <w:rsid w:val="00C570F2"/>
    <w:rsid w:val="00C94F97"/>
    <w:rsid w:val="00CA0D37"/>
    <w:rsid w:val="00CA329D"/>
    <w:rsid w:val="00CA72C1"/>
    <w:rsid w:val="00CC5A52"/>
    <w:rsid w:val="00D405B3"/>
    <w:rsid w:val="00D50563"/>
    <w:rsid w:val="00D50B3A"/>
    <w:rsid w:val="00D542A3"/>
    <w:rsid w:val="00D54870"/>
    <w:rsid w:val="00D60B1F"/>
    <w:rsid w:val="00D722EB"/>
    <w:rsid w:val="00D76B55"/>
    <w:rsid w:val="00D84108"/>
    <w:rsid w:val="00DB2D7F"/>
    <w:rsid w:val="00DD4A3E"/>
    <w:rsid w:val="00DD5974"/>
    <w:rsid w:val="00E04A54"/>
    <w:rsid w:val="00E054B0"/>
    <w:rsid w:val="00E22EEC"/>
    <w:rsid w:val="00E3016A"/>
    <w:rsid w:val="00E32132"/>
    <w:rsid w:val="00E46D53"/>
    <w:rsid w:val="00E474F1"/>
    <w:rsid w:val="00E50058"/>
    <w:rsid w:val="00E55C2C"/>
    <w:rsid w:val="00E622AF"/>
    <w:rsid w:val="00E71379"/>
    <w:rsid w:val="00E82C16"/>
    <w:rsid w:val="00E8650C"/>
    <w:rsid w:val="00EB4F30"/>
    <w:rsid w:val="00EC609F"/>
    <w:rsid w:val="00EF52AC"/>
    <w:rsid w:val="00F14256"/>
    <w:rsid w:val="00F31AC1"/>
    <w:rsid w:val="00F42531"/>
    <w:rsid w:val="00F63009"/>
    <w:rsid w:val="00F8163F"/>
    <w:rsid w:val="00F83044"/>
    <w:rsid w:val="00F9534F"/>
    <w:rsid w:val="00FB689B"/>
    <w:rsid w:val="00FC3D70"/>
    <w:rsid w:val="00FC6468"/>
    <w:rsid w:val="00FD4694"/>
    <w:rsid w:val="00FF1C87"/>
    <w:rsid w:val="021B5715"/>
    <w:rsid w:val="031E020B"/>
    <w:rsid w:val="08131637"/>
    <w:rsid w:val="11C8289C"/>
    <w:rsid w:val="152065A7"/>
    <w:rsid w:val="167729E9"/>
    <w:rsid w:val="18DF2FA2"/>
    <w:rsid w:val="196D5E77"/>
    <w:rsid w:val="1C59328D"/>
    <w:rsid w:val="1E4360C4"/>
    <w:rsid w:val="1EC81CFB"/>
    <w:rsid w:val="212F4579"/>
    <w:rsid w:val="27BC075B"/>
    <w:rsid w:val="288E79DA"/>
    <w:rsid w:val="2A23438B"/>
    <w:rsid w:val="2DBC1A95"/>
    <w:rsid w:val="2F7E5B41"/>
    <w:rsid w:val="30AF624C"/>
    <w:rsid w:val="31780B4F"/>
    <w:rsid w:val="43BA119C"/>
    <w:rsid w:val="43DC1B52"/>
    <w:rsid w:val="47904FDB"/>
    <w:rsid w:val="47CF4628"/>
    <w:rsid w:val="487779FF"/>
    <w:rsid w:val="4B090D47"/>
    <w:rsid w:val="4C33544F"/>
    <w:rsid w:val="4D073599"/>
    <w:rsid w:val="4E3F3B8B"/>
    <w:rsid w:val="530812A4"/>
    <w:rsid w:val="55E0055B"/>
    <w:rsid w:val="5A17342C"/>
    <w:rsid w:val="5B247F7C"/>
    <w:rsid w:val="5BC849AC"/>
    <w:rsid w:val="5BDA21AD"/>
    <w:rsid w:val="5C6414D7"/>
    <w:rsid w:val="5C7169A4"/>
    <w:rsid w:val="5CC002A4"/>
    <w:rsid w:val="5DBD24DF"/>
    <w:rsid w:val="5F04291D"/>
    <w:rsid w:val="5F9F7A62"/>
    <w:rsid w:val="628B1C31"/>
    <w:rsid w:val="643C2281"/>
    <w:rsid w:val="65021929"/>
    <w:rsid w:val="656E68A4"/>
    <w:rsid w:val="665F2320"/>
    <w:rsid w:val="69DF34D9"/>
    <w:rsid w:val="6A7327BB"/>
    <w:rsid w:val="6D183A32"/>
    <w:rsid w:val="6F0965CD"/>
    <w:rsid w:val="71BF21D6"/>
    <w:rsid w:val="72074374"/>
    <w:rsid w:val="77827B6D"/>
    <w:rsid w:val="798F62ED"/>
    <w:rsid w:val="799E5223"/>
    <w:rsid w:val="7A074611"/>
    <w:rsid w:val="7B874321"/>
    <w:rsid w:val="7D7A19C4"/>
    <w:rsid w:val="7E7E75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Acronym" w:semiHidden="0" w:uiPriority="0" w:unhideWhenUsed="0" w:qFormat="1"/>
    <w:lsdException w:name="HTML Variable"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0C4"/>
    <w:pPr>
      <w:widowControl w:val="0"/>
      <w:jc w:val="both"/>
    </w:pPr>
    <w:rPr>
      <w:kern w:val="2"/>
      <w:sz w:val="21"/>
      <w:szCs w:val="22"/>
    </w:rPr>
  </w:style>
  <w:style w:type="paragraph" w:styleId="1">
    <w:name w:val="heading 1"/>
    <w:basedOn w:val="a"/>
    <w:next w:val="a"/>
    <w:link w:val="1Char"/>
    <w:qFormat/>
    <w:rsid w:val="008A30C4"/>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8A30C4"/>
    <w:pPr>
      <w:jc w:val="left"/>
    </w:pPr>
  </w:style>
  <w:style w:type="paragraph" w:styleId="a4">
    <w:name w:val="Body Text Indent"/>
    <w:basedOn w:val="a"/>
    <w:link w:val="Char"/>
    <w:qFormat/>
    <w:rsid w:val="008A30C4"/>
    <w:pPr>
      <w:snapToGrid w:val="0"/>
      <w:ind w:firstLineChars="200" w:firstLine="600"/>
    </w:pPr>
    <w:rPr>
      <w:rFonts w:ascii="Times New Roman" w:eastAsia="宋体" w:hAnsi="Times New Roman" w:cs="Times New Roman"/>
      <w:sz w:val="30"/>
      <w:szCs w:val="24"/>
    </w:rPr>
  </w:style>
  <w:style w:type="paragraph" w:styleId="a5">
    <w:name w:val="footer"/>
    <w:basedOn w:val="a"/>
    <w:link w:val="Char0"/>
    <w:uiPriority w:val="99"/>
    <w:semiHidden/>
    <w:unhideWhenUsed/>
    <w:qFormat/>
    <w:rsid w:val="008A30C4"/>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rsid w:val="008A30C4"/>
    <w:pPr>
      <w:pBdr>
        <w:bottom w:val="single" w:sz="6" w:space="1" w:color="auto"/>
      </w:pBdr>
      <w:tabs>
        <w:tab w:val="center" w:pos="4153"/>
        <w:tab w:val="right" w:pos="8306"/>
      </w:tabs>
      <w:snapToGrid w:val="0"/>
      <w:jc w:val="center"/>
    </w:pPr>
    <w:rPr>
      <w:sz w:val="18"/>
      <w:szCs w:val="18"/>
    </w:rPr>
  </w:style>
  <w:style w:type="character" w:styleId="HTML">
    <w:name w:val="HTML Acronym"/>
    <w:basedOn w:val="a0"/>
    <w:qFormat/>
    <w:rsid w:val="008A30C4"/>
  </w:style>
  <w:style w:type="character" w:styleId="HTML0">
    <w:name w:val="HTML Variable"/>
    <w:qFormat/>
    <w:rsid w:val="008A30C4"/>
    <w:rPr>
      <w:i/>
      <w:iCs/>
    </w:rPr>
  </w:style>
  <w:style w:type="character" w:customStyle="1" w:styleId="Char1">
    <w:name w:val="页眉 Char"/>
    <w:basedOn w:val="a0"/>
    <w:link w:val="a6"/>
    <w:uiPriority w:val="99"/>
    <w:semiHidden/>
    <w:qFormat/>
    <w:rsid w:val="008A30C4"/>
    <w:rPr>
      <w:sz w:val="18"/>
      <w:szCs w:val="18"/>
    </w:rPr>
  </w:style>
  <w:style w:type="character" w:customStyle="1" w:styleId="Char0">
    <w:name w:val="页脚 Char"/>
    <w:basedOn w:val="a0"/>
    <w:link w:val="a5"/>
    <w:uiPriority w:val="99"/>
    <w:semiHidden/>
    <w:qFormat/>
    <w:rsid w:val="008A30C4"/>
    <w:rPr>
      <w:sz w:val="18"/>
      <w:szCs w:val="18"/>
    </w:rPr>
  </w:style>
  <w:style w:type="character" w:customStyle="1" w:styleId="Char2">
    <w:name w:val="段 Char"/>
    <w:link w:val="a7"/>
    <w:qFormat/>
    <w:locked/>
    <w:rsid w:val="008A30C4"/>
    <w:rPr>
      <w:rFonts w:ascii="宋体" w:eastAsia="宋体" w:hAnsi="宋体"/>
    </w:rPr>
  </w:style>
  <w:style w:type="paragraph" w:customStyle="1" w:styleId="a7">
    <w:name w:val="段"/>
    <w:link w:val="Char2"/>
    <w:qFormat/>
    <w:rsid w:val="008A30C4"/>
    <w:pPr>
      <w:autoSpaceDE w:val="0"/>
      <w:autoSpaceDN w:val="0"/>
      <w:ind w:firstLineChars="200" w:firstLine="200"/>
      <w:jc w:val="both"/>
    </w:pPr>
    <w:rPr>
      <w:rFonts w:ascii="宋体" w:eastAsia="宋体" w:hAnsi="宋体"/>
      <w:kern w:val="2"/>
      <w:sz w:val="21"/>
      <w:szCs w:val="22"/>
    </w:rPr>
  </w:style>
  <w:style w:type="paragraph" w:styleId="a8">
    <w:name w:val="List Paragraph"/>
    <w:basedOn w:val="a"/>
    <w:uiPriority w:val="34"/>
    <w:qFormat/>
    <w:rsid w:val="008A30C4"/>
    <w:pPr>
      <w:ind w:firstLineChars="200" w:firstLine="420"/>
    </w:pPr>
  </w:style>
  <w:style w:type="character" w:customStyle="1" w:styleId="Char">
    <w:name w:val="正文文本缩进 Char"/>
    <w:basedOn w:val="a0"/>
    <w:link w:val="a4"/>
    <w:qFormat/>
    <w:rsid w:val="008A30C4"/>
    <w:rPr>
      <w:rFonts w:ascii="Times New Roman" w:eastAsia="宋体" w:hAnsi="Times New Roman" w:cs="Times New Roman"/>
      <w:sz w:val="30"/>
      <w:szCs w:val="24"/>
    </w:rPr>
  </w:style>
  <w:style w:type="character" w:customStyle="1" w:styleId="1Char">
    <w:name w:val="标题 1 Char"/>
    <w:basedOn w:val="a0"/>
    <w:link w:val="1"/>
    <w:qFormat/>
    <w:rsid w:val="008A30C4"/>
    <w:rPr>
      <w:rFonts w:ascii="Calibri" w:eastAsia="宋体" w:hAnsi="Calibri" w:cs="Times New Roman"/>
      <w:b/>
      <w:bCs/>
      <w:kern w:val="44"/>
      <w:sz w:val="44"/>
      <w:szCs w:val="44"/>
    </w:rPr>
  </w:style>
  <w:style w:type="paragraph" w:styleId="2">
    <w:name w:val="Body Text Indent 2"/>
    <w:basedOn w:val="a"/>
    <w:link w:val="2Char"/>
    <w:uiPriority w:val="99"/>
    <w:unhideWhenUsed/>
    <w:rsid w:val="003732A6"/>
    <w:pPr>
      <w:spacing w:after="120" w:line="480" w:lineRule="auto"/>
      <w:ind w:leftChars="200" w:left="420"/>
    </w:pPr>
  </w:style>
  <w:style w:type="character" w:customStyle="1" w:styleId="2Char">
    <w:name w:val="正文文本缩进 2 Char"/>
    <w:basedOn w:val="a0"/>
    <w:link w:val="2"/>
    <w:uiPriority w:val="99"/>
    <w:rsid w:val="003732A6"/>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4.bin"/><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12</Pages>
  <Words>979</Words>
  <Characters>5582</Characters>
  <Application>Microsoft Office Word</Application>
  <DocSecurity>0</DocSecurity>
  <Lines>46</Lines>
  <Paragraphs>13</Paragraphs>
  <ScaleCrop>false</ScaleCrop>
  <Company>微软中国</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huameisystem</cp:lastModifiedBy>
  <cp:revision>220</cp:revision>
  <dcterms:created xsi:type="dcterms:W3CDTF">2021-12-08T07:46:00Z</dcterms:created>
  <dcterms:modified xsi:type="dcterms:W3CDTF">2022-12-08T01:36:00Z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407523C1831F4BFB8CFAC64CB9503B04</vt:lpwstr>
  </property>
</Properties>
</file>