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AF" w:rsidRDefault="00663AAF" w:rsidP="00663AAF">
      <w:pPr>
        <w:spacing w:line="531" w:lineRule="exact"/>
        <w:ind w:left="262"/>
        <w:jc w:val="center"/>
        <w:rPr>
          <w:rFonts w:hAnsi="Calibri"/>
          <w:color w:val="000000"/>
          <w:sz w:val="52"/>
        </w:rPr>
      </w:pPr>
      <w:bookmarkStart w:id="0" w:name="_GoBack"/>
      <w:bookmarkEnd w:id="0"/>
      <w:r>
        <w:rPr>
          <w:rFonts w:ascii="黑体" w:hAnsi="黑体" w:cs="黑体" w:hint="eastAsia"/>
          <w:color w:val="000000"/>
          <w:sz w:val="52"/>
        </w:rPr>
        <w:t>贵州省</w:t>
      </w:r>
      <w:r>
        <w:rPr>
          <w:rFonts w:ascii="黑体" w:hAnsi="黑体" w:cs="黑体"/>
          <w:color w:val="000000"/>
          <w:sz w:val="52"/>
        </w:rPr>
        <w:t>地方计量技术规范</w:t>
      </w:r>
    </w:p>
    <w:p w:rsidR="00663AAF" w:rsidRDefault="00663AAF" w:rsidP="00663AAF">
      <w:pPr>
        <w:spacing w:before="405" w:line="531" w:lineRule="exact"/>
        <w:jc w:val="center"/>
        <w:rPr>
          <w:rFonts w:hAnsi="Calibri"/>
          <w:color w:val="000000"/>
          <w:sz w:val="52"/>
        </w:rPr>
      </w:pPr>
      <w:r>
        <w:rPr>
          <w:rFonts w:ascii="黑体" w:hAnsi="黑体" w:cs="黑体"/>
          <w:color w:val="000000"/>
          <w:sz w:val="52"/>
        </w:rPr>
        <w:t>《等电位测试仪校准规范》</w:t>
      </w:r>
    </w:p>
    <w:p w:rsidR="00663AAF" w:rsidRDefault="00663AAF" w:rsidP="00663AAF">
      <w:pPr>
        <w:spacing w:before="405" w:line="531" w:lineRule="exact"/>
        <w:jc w:val="center"/>
        <w:rPr>
          <w:rFonts w:hAnsi="Calibri"/>
          <w:color w:val="000000"/>
          <w:sz w:val="52"/>
        </w:rPr>
      </w:pPr>
      <w:r>
        <w:rPr>
          <w:rFonts w:ascii="黑体" w:hAnsi="黑体" w:cs="黑体"/>
          <w:color w:val="000000"/>
          <w:sz w:val="52"/>
        </w:rPr>
        <w:t>编制说明</w:t>
      </w:r>
    </w:p>
    <w:p w:rsidR="00663AAF" w:rsidRDefault="00663AAF" w:rsidP="00663AAF">
      <w:pPr>
        <w:spacing w:before="8249" w:line="449" w:lineRule="exact"/>
        <w:jc w:val="center"/>
        <w:rPr>
          <w:rFonts w:hAnsi="Calibri"/>
          <w:color w:val="000000"/>
          <w:sz w:val="44"/>
        </w:rPr>
      </w:pPr>
      <w:r>
        <w:rPr>
          <w:rFonts w:ascii="黑体" w:hAnsi="黑体" w:cs="黑体"/>
          <w:color w:val="000000"/>
          <w:sz w:val="44"/>
        </w:rPr>
        <w:t>校准规范起草组</w:t>
      </w:r>
    </w:p>
    <w:p w:rsidR="00852F99" w:rsidRDefault="00663AAF" w:rsidP="00663AAF">
      <w:pPr>
        <w:jc w:val="center"/>
        <w:rPr>
          <w:rFonts w:hAnsi="Calibri"/>
          <w:color w:val="000000"/>
          <w:sz w:val="44"/>
        </w:rPr>
      </w:pPr>
      <w:r>
        <w:rPr>
          <w:rFonts w:ascii="黑体" w:hAnsi="Calibri"/>
          <w:color w:val="000000"/>
          <w:sz w:val="44"/>
        </w:rPr>
        <w:t>202</w:t>
      </w:r>
      <w:r>
        <w:rPr>
          <w:rFonts w:ascii="黑体" w:hAnsi="Calibri" w:hint="eastAsia"/>
          <w:color w:val="000000"/>
          <w:sz w:val="44"/>
        </w:rPr>
        <w:t>3</w:t>
      </w:r>
      <w:r>
        <w:rPr>
          <w:rFonts w:ascii="黑体" w:hAnsi="黑体" w:cs="黑体"/>
          <w:color w:val="000000"/>
          <w:sz w:val="44"/>
        </w:rPr>
        <w:t>年</w:t>
      </w:r>
      <w:r w:rsidR="002C55C7">
        <w:rPr>
          <w:rFonts w:hAnsi="Calibri" w:hint="eastAsia"/>
          <w:color w:val="000000"/>
          <w:sz w:val="44"/>
        </w:rPr>
        <w:t>7</w:t>
      </w:r>
      <w:r>
        <w:rPr>
          <w:rFonts w:hAnsi="Calibri" w:hint="eastAsia"/>
          <w:color w:val="000000"/>
          <w:sz w:val="44"/>
        </w:rPr>
        <w:t>月</w:t>
      </w:r>
    </w:p>
    <w:p w:rsidR="00663AAF" w:rsidRDefault="00663AAF" w:rsidP="00663AAF">
      <w:pPr>
        <w:jc w:val="center"/>
        <w:rPr>
          <w:rFonts w:hAnsi="Calibri"/>
          <w:color w:val="000000"/>
          <w:sz w:val="44"/>
        </w:rPr>
      </w:pPr>
    </w:p>
    <w:p w:rsidR="00663AAF" w:rsidRDefault="00663AAF" w:rsidP="00663AAF">
      <w:pPr>
        <w:jc w:val="center"/>
        <w:rPr>
          <w:rFonts w:hAnsi="Calibri"/>
          <w:color w:val="000000"/>
          <w:sz w:val="44"/>
        </w:rPr>
      </w:pPr>
    </w:p>
    <w:p w:rsidR="00663AAF" w:rsidRDefault="00663AAF" w:rsidP="00663AAF">
      <w:pPr>
        <w:jc w:val="center"/>
        <w:rPr>
          <w:rFonts w:hAnsi="Calibri"/>
          <w:color w:val="000000"/>
          <w:sz w:val="44"/>
        </w:rPr>
      </w:pPr>
    </w:p>
    <w:p w:rsidR="00663AAF" w:rsidRPr="00E26E84" w:rsidRDefault="00663AAF" w:rsidP="00663AAF">
      <w:pPr>
        <w:widowControl/>
        <w:numPr>
          <w:ilvl w:val="0"/>
          <w:numId w:val="1"/>
        </w:numPr>
        <w:spacing w:before="249" w:line="291" w:lineRule="exact"/>
        <w:jc w:val="left"/>
        <w:rPr>
          <w:rFonts w:ascii="黑体" w:eastAsia="黑体" w:hAnsi="黑体" w:cs="黑体"/>
          <w:color w:val="000000"/>
          <w:sz w:val="28"/>
        </w:rPr>
      </w:pPr>
      <w:r w:rsidRPr="00E26E84">
        <w:rPr>
          <w:rFonts w:ascii="黑体" w:eastAsia="黑体" w:hAnsi="黑体" w:cs="黑体"/>
          <w:color w:val="000000"/>
          <w:sz w:val="28"/>
        </w:rPr>
        <w:lastRenderedPageBreak/>
        <w:t>任务来源</w:t>
      </w:r>
    </w:p>
    <w:p w:rsidR="00663AAF" w:rsidRDefault="00663AAF" w:rsidP="00663AAF">
      <w:pPr>
        <w:ind w:firstLine="570"/>
        <w:jc w:val="left"/>
        <w:rPr>
          <w:rFonts w:ascii="宋体" w:hAnsi="宋体" w:cs="宋体"/>
          <w:color w:val="000000"/>
          <w:spacing w:val="-1"/>
          <w:sz w:val="28"/>
        </w:rPr>
      </w:pPr>
      <w:r w:rsidRPr="00384AF2">
        <w:rPr>
          <w:rFonts w:ascii="宋体" w:hAnsi="宋体" w:cs="宋体" w:hint="eastAsia"/>
          <w:color w:val="000000"/>
          <w:spacing w:val="-1"/>
          <w:kern w:val="0"/>
          <w:sz w:val="28"/>
        </w:rPr>
        <w:t>2022年，省市场监管局组织省标准化院、省计量测试院、黔南州检验检测院、贵州医科大学、遵义市产品质量检验检测院、黔西南州检验检测中心等单位的7名专家，对《等电位测试仪校准规范》进行立项审查，规范申请起草单位贵州省计量测试院所对项目情况进行了陈述。经专家组审查认为：国家无等电位测试仪相关规程规范，也没有制修订计划，我省防雷检测公司、电力安全部门已广泛使用等电位测试仪，制定该计量规范确有必要，规范形成后有效指导全省等电位测试仪的检校准工作，确保仪器计量性能符合相关要求。专家组一致同意《等电位测试仪校准规范》的立项申请</w:t>
      </w:r>
      <w:r>
        <w:rPr>
          <w:rFonts w:ascii="宋体" w:hAnsi="宋体" w:cs="宋体" w:hint="eastAsia"/>
          <w:color w:val="000000"/>
          <w:spacing w:val="-1"/>
          <w:kern w:val="0"/>
          <w:sz w:val="28"/>
        </w:rPr>
        <w:t>，</w:t>
      </w:r>
      <w:r w:rsidRPr="00384AF2">
        <w:rPr>
          <w:rFonts w:ascii="宋体" w:hAnsi="宋体" w:cs="宋体"/>
          <w:color w:val="000000"/>
          <w:spacing w:val="-1"/>
          <w:sz w:val="28"/>
        </w:rPr>
        <w:t>该校准规范由</w:t>
      </w:r>
      <w:r w:rsidR="00CB765D">
        <w:rPr>
          <w:rFonts w:ascii="宋体" w:hAnsi="宋体" w:cs="宋体" w:hint="eastAsia"/>
          <w:color w:val="000000"/>
          <w:spacing w:val="-1"/>
          <w:sz w:val="28"/>
        </w:rPr>
        <w:t>贵州省计量测试</w:t>
      </w:r>
      <w:r w:rsidRPr="00384AF2">
        <w:rPr>
          <w:rFonts w:ascii="宋体" w:hAnsi="宋体" w:cs="宋体"/>
          <w:color w:val="000000"/>
          <w:spacing w:val="-1"/>
          <w:sz w:val="28"/>
        </w:rPr>
        <w:t>院负责起草</w:t>
      </w:r>
      <w:r>
        <w:rPr>
          <w:rFonts w:ascii="宋体" w:hAnsi="宋体" w:cs="宋体" w:hint="eastAsia"/>
          <w:color w:val="000000"/>
          <w:spacing w:val="-1"/>
          <w:sz w:val="28"/>
        </w:rPr>
        <w:t>。</w:t>
      </w:r>
    </w:p>
    <w:p w:rsidR="00663AAF" w:rsidRPr="00E26E84" w:rsidRDefault="00663AAF" w:rsidP="00E26E84">
      <w:pPr>
        <w:widowControl/>
        <w:spacing w:before="249" w:line="291" w:lineRule="exact"/>
        <w:jc w:val="left"/>
        <w:rPr>
          <w:rFonts w:ascii="黑体" w:eastAsia="黑体" w:hAnsi="黑体" w:cs="黑体"/>
          <w:color w:val="000000"/>
          <w:sz w:val="28"/>
        </w:rPr>
      </w:pPr>
      <w:r w:rsidRPr="00E26E84">
        <w:rPr>
          <w:rFonts w:ascii="黑体" w:eastAsia="黑体" w:hAnsi="黑体" w:cs="黑体"/>
          <w:color w:val="000000"/>
          <w:sz w:val="28"/>
        </w:rPr>
        <w:t>二、调研情况</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等电位测试仪是检测建筑物中防护金属构件之间等电位联结质量的专用仪表，主要用于测量建筑物中的金属构件之间的等电位连接电阻，也可以用来测量各种电气设备与地网地极间的连接导体的电阻，还可以用来测量开关、插座触点的接触电阻和其他低电阻，是一种重要的防雷检测仪器，广泛应用于建筑质检站、监理公司、建筑施工单位、防雷公司、电力部门等。随着建筑物防雷设计规范的推广，防雷检测工作越来越受到重视，等电位测试仪得到了广泛的应用，在防雷检测工作中可以及时发现和排除一些安全隐患，避免不必要的人员和经济损失。如何对等电位测试仪进行校准，现在尚无相应的国家检定规程或校准规范。为此，需要对等电位测试仪的校准工作更加规范化科学化，以保证等电位测试仪测试结果的准确性。</w:t>
      </w:r>
    </w:p>
    <w:p w:rsidR="00663AAF" w:rsidRPr="00E26E84" w:rsidRDefault="00663AAF" w:rsidP="00E26E84">
      <w:pPr>
        <w:widowControl/>
        <w:spacing w:before="249" w:line="291" w:lineRule="exact"/>
        <w:jc w:val="left"/>
        <w:rPr>
          <w:rFonts w:ascii="黑体" w:eastAsia="黑体" w:hAnsi="黑体" w:cs="黑体"/>
          <w:color w:val="000000"/>
          <w:sz w:val="28"/>
        </w:rPr>
      </w:pPr>
      <w:r w:rsidRPr="00E26E84">
        <w:rPr>
          <w:rFonts w:ascii="黑体" w:eastAsia="黑体" w:hAnsi="黑体" w:cs="黑体"/>
          <w:color w:val="000000"/>
          <w:sz w:val="28"/>
        </w:rPr>
        <w:lastRenderedPageBreak/>
        <w:t>三、规范制定过程</w:t>
      </w:r>
    </w:p>
    <w:p w:rsidR="00256233" w:rsidRDefault="00663AAF" w:rsidP="00256233">
      <w:pPr>
        <w:autoSpaceDE w:val="0"/>
        <w:autoSpaceDN w:val="0"/>
        <w:adjustRightInd w:val="0"/>
        <w:ind w:firstLineChars="200" w:firstLine="556"/>
        <w:jc w:val="left"/>
        <w:rPr>
          <w:rFonts w:ascii="宋体" w:hAnsi="宋体" w:cs="宋体"/>
          <w:color w:val="000000"/>
          <w:spacing w:val="-1"/>
          <w:kern w:val="0"/>
          <w:sz w:val="28"/>
        </w:rPr>
      </w:pPr>
      <w:r w:rsidRPr="00663AAF">
        <w:rPr>
          <w:rFonts w:ascii="宋体" w:hAnsi="宋体" w:cs="宋体"/>
          <w:color w:val="000000"/>
          <w:spacing w:val="-1"/>
          <w:kern w:val="0"/>
          <w:sz w:val="28"/>
        </w:rPr>
        <w:t>在本规范的制定过程中，以国家计量技术法规、国家标准、国内外相关文献、大量实验数据为技术依据，本着科学合理、易于操作、切实可行的原则，严格依照 JJF 1071-2010《国家计量校准规范编写规则》规定编制。按照技术文献、法规文件的要求，起草小组组织对生产制造企业和使用单位调研交流，补充和完善相关试验和研究，完成等电位测试仪校准规范的征求意见稿。经征求省/市计量技术机构、使用单位、生产厂家有关专家的意见建议，对征求意见进行了认真研究讨论，并对征求意见稿进行修改，形成</w:t>
      </w:r>
      <w:r w:rsidR="00C5156D">
        <w:rPr>
          <w:rFonts w:ascii="宋体" w:hAnsi="宋体" w:cs="宋体" w:hint="eastAsia"/>
          <w:color w:val="000000"/>
          <w:spacing w:val="-1"/>
          <w:kern w:val="0"/>
          <w:sz w:val="28"/>
        </w:rPr>
        <w:t>送审</w:t>
      </w:r>
      <w:r w:rsidRPr="00663AAF">
        <w:rPr>
          <w:rFonts w:ascii="宋体" w:hAnsi="宋体" w:cs="宋体"/>
          <w:color w:val="000000"/>
          <w:spacing w:val="-1"/>
          <w:kern w:val="0"/>
          <w:sz w:val="28"/>
        </w:rPr>
        <w:t>稿。</w:t>
      </w:r>
    </w:p>
    <w:p w:rsidR="00663AAF" w:rsidRDefault="00256233" w:rsidP="00256233">
      <w:pPr>
        <w:autoSpaceDE w:val="0"/>
        <w:autoSpaceDN w:val="0"/>
        <w:adjustRightInd w:val="0"/>
        <w:ind w:firstLineChars="200" w:firstLine="560"/>
        <w:jc w:val="left"/>
        <w:rPr>
          <w:rFonts w:ascii="宋体" w:hAnsi="宋体" w:cs="宋体"/>
          <w:color w:val="000000"/>
          <w:spacing w:val="-1"/>
          <w:kern w:val="0"/>
          <w:sz w:val="28"/>
        </w:rPr>
      </w:pPr>
      <w:r>
        <w:rPr>
          <w:rFonts w:ascii="宋体" w:eastAsia="宋体" w:cs="宋体" w:hint="eastAsia"/>
          <w:kern w:val="0"/>
          <w:sz w:val="28"/>
          <w:szCs w:val="28"/>
        </w:rPr>
        <w:t>经省局评审专家组对报审稿进行审定，以专家组意见为依据，对报审稿进行修改，形成报批稿。</w:t>
      </w:r>
    </w:p>
    <w:p w:rsidR="00663AAF" w:rsidRPr="00E26E84" w:rsidRDefault="00663AAF" w:rsidP="00E26E84">
      <w:pPr>
        <w:widowControl/>
        <w:spacing w:before="249" w:line="291" w:lineRule="exact"/>
        <w:jc w:val="left"/>
        <w:rPr>
          <w:rFonts w:ascii="黑体" w:eastAsia="黑体" w:hAnsi="黑体" w:cs="黑体"/>
          <w:color w:val="000000"/>
          <w:sz w:val="28"/>
        </w:rPr>
      </w:pPr>
      <w:r w:rsidRPr="00E26E84">
        <w:rPr>
          <w:rFonts w:ascii="黑体" w:eastAsia="黑体" w:hAnsi="黑体" w:cs="黑体"/>
          <w:color w:val="000000"/>
          <w:sz w:val="28"/>
        </w:rPr>
        <w:t>四．内容说明</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1. 规范名称</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《等电位测试仪校准规范》</w:t>
      </w:r>
    </w:p>
    <w:p w:rsidR="00663AAF" w:rsidRPr="009424E3" w:rsidRDefault="00663AAF" w:rsidP="009424E3">
      <w:pPr>
        <w:spacing w:before="249" w:line="291" w:lineRule="exact"/>
        <w:ind w:left="559"/>
        <w:rPr>
          <w:rFonts w:ascii="宋体" w:hAnsi="宋体" w:cs="宋体"/>
          <w:color w:val="000000"/>
          <w:sz w:val="28"/>
        </w:rPr>
      </w:pPr>
      <w:r w:rsidRPr="009424E3">
        <w:rPr>
          <w:rFonts w:ascii="宋体" w:hAnsi="宋体" w:cs="宋体"/>
          <w:color w:val="000000"/>
          <w:sz w:val="28"/>
        </w:rPr>
        <w:t>2．适用范围</w:t>
      </w:r>
    </w:p>
    <w:p w:rsidR="009424E3" w:rsidRPr="009424E3" w:rsidRDefault="009424E3" w:rsidP="009424E3">
      <w:pPr>
        <w:ind w:firstLine="570"/>
        <w:jc w:val="left"/>
        <w:rPr>
          <w:rFonts w:ascii="宋体" w:hAnsi="宋体" w:cs="宋体"/>
          <w:color w:val="000000"/>
          <w:spacing w:val="-1"/>
          <w:kern w:val="0"/>
          <w:sz w:val="28"/>
        </w:rPr>
      </w:pPr>
      <w:r w:rsidRPr="009424E3">
        <w:rPr>
          <w:rFonts w:ascii="宋体" w:hAnsi="宋体" w:cs="宋体"/>
          <w:color w:val="000000"/>
          <w:spacing w:val="-1"/>
          <w:kern w:val="0"/>
          <w:sz w:val="28"/>
        </w:rPr>
        <w:t>本规范适用于电阻测量范围为0.001Ω～</w:t>
      </w:r>
      <w:r w:rsidRPr="009424E3">
        <w:rPr>
          <w:rFonts w:ascii="宋体" w:hAnsi="宋体" w:cs="宋体" w:hint="eastAsia"/>
          <w:color w:val="000000"/>
          <w:spacing w:val="-1"/>
          <w:kern w:val="0"/>
          <w:sz w:val="28"/>
        </w:rPr>
        <w:t>3</w:t>
      </w:r>
      <w:r w:rsidRPr="009424E3">
        <w:rPr>
          <w:rFonts w:ascii="宋体" w:hAnsi="宋体" w:cs="宋体"/>
          <w:color w:val="000000"/>
          <w:spacing w:val="-1"/>
          <w:kern w:val="0"/>
          <w:sz w:val="28"/>
        </w:rPr>
        <w:t>0kΩ的等电位测试仪的校准</w:t>
      </w:r>
      <w:r w:rsidRPr="009424E3">
        <w:rPr>
          <w:rFonts w:ascii="宋体" w:hAnsi="宋体" w:cs="宋体" w:hint="eastAsia"/>
          <w:color w:val="000000"/>
          <w:spacing w:val="-1"/>
          <w:kern w:val="0"/>
          <w:sz w:val="28"/>
        </w:rPr>
        <w:t>.</w:t>
      </w:r>
      <w:r w:rsidRPr="009424E3">
        <w:rPr>
          <w:rFonts w:ascii="宋体" w:hAnsi="宋体" w:cs="宋体"/>
          <w:color w:val="000000"/>
          <w:spacing w:val="-1"/>
          <w:kern w:val="0"/>
          <w:sz w:val="28"/>
        </w:rPr>
        <w:t>过渡电阻测试仪可参照本规范进行校准。</w:t>
      </w:r>
    </w:p>
    <w:p w:rsidR="00663AAF" w:rsidRPr="009424E3" w:rsidRDefault="00663AAF" w:rsidP="00663AAF">
      <w:pPr>
        <w:spacing w:before="249" w:line="291" w:lineRule="exact"/>
        <w:ind w:left="559"/>
        <w:rPr>
          <w:rFonts w:ascii="宋体" w:hAnsi="宋体" w:cs="宋体"/>
          <w:color w:val="000000"/>
          <w:sz w:val="28"/>
        </w:rPr>
      </w:pPr>
      <w:r w:rsidRPr="009424E3">
        <w:rPr>
          <w:rFonts w:ascii="宋体" w:hAnsi="宋体" w:cs="宋体"/>
          <w:color w:val="000000"/>
          <w:sz w:val="28"/>
        </w:rPr>
        <w:t>3. 引用文献</w:t>
      </w:r>
    </w:p>
    <w:p w:rsidR="00663AAF" w:rsidRDefault="00663AAF" w:rsidP="00663AAF">
      <w:pPr>
        <w:spacing w:before="249" w:line="291" w:lineRule="exact"/>
        <w:ind w:left="559"/>
        <w:rPr>
          <w:rFonts w:hAnsi="Calibri"/>
          <w:color w:val="000000"/>
          <w:sz w:val="28"/>
        </w:rPr>
      </w:pPr>
      <w:r>
        <w:rPr>
          <w:rFonts w:ascii="宋体" w:hAnsi="Calibri"/>
          <w:color w:val="000000"/>
          <w:sz w:val="28"/>
        </w:rPr>
        <w:t>JJF</w:t>
      </w:r>
      <w:r>
        <w:rPr>
          <w:rFonts w:hAnsi="Calibri"/>
          <w:color w:val="000000"/>
          <w:spacing w:val="70"/>
          <w:sz w:val="28"/>
        </w:rPr>
        <w:t xml:space="preserve"> </w:t>
      </w:r>
      <w:r>
        <w:rPr>
          <w:rFonts w:ascii="宋体" w:hAnsi="宋体" w:cs="宋体"/>
          <w:color w:val="000000"/>
          <w:sz w:val="28"/>
        </w:rPr>
        <w:t>1071—2010</w:t>
      </w:r>
      <w:r>
        <w:rPr>
          <w:rFonts w:hAnsi="Calibri"/>
          <w:color w:val="000000"/>
          <w:spacing w:val="68"/>
          <w:sz w:val="28"/>
        </w:rPr>
        <w:t xml:space="preserve"> </w:t>
      </w:r>
      <w:r>
        <w:rPr>
          <w:rFonts w:ascii="宋体" w:hAnsi="宋体" w:cs="宋体"/>
          <w:color w:val="000000"/>
          <w:sz w:val="28"/>
        </w:rPr>
        <w:t>《国家计量校准规范编写规则》</w:t>
      </w:r>
    </w:p>
    <w:p w:rsidR="00663AAF" w:rsidRDefault="00663AAF" w:rsidP="00663AAF">
      <w:pPr>
        <w:spacing w:before="249" w:line="291" w:lineRule="exact"/>
        <w:ind w:left="559"/>
        <w:rPr>
          <w:rFonts w:hAnsi="Calibri"/>
          <w:color w:val="000000"/>
          <w:sz w:val="28"/>
        </w:rPr>
      </w:pPr>
      <w:r>
        <w:rPr>
          <w:rFonts w:ascii="宋体" w:hAnsi="Calibri"/>
          <w:color w:val="000000"/>
          <w:sz w:val="28"/>
        </w:rPr>
        <w:t>JJF</w:t>
      </w:r>
      <w:r>
        <w:rPr>
          <w:rFonts w:hAnsi="Calibri"/>
          <w:color w:val="000000"/>
          <w:spacing w:val="70"/>
          <w:sz w:val="28"/>
        </w:rPr>
        <w:t xml:space="preserve"> </w:t>
      </w:r>
      <w:r>
        <w:rPr>
          <w:rFonts w:ascii="宋体" w:hAnsi="宋体" w:cs="宋体"/>
          <w:color w:val="000000"/>
          <w:sz w:val="28"/>
        </w:rPr>
        <w:t>1001—2011</w:t>
      </w:r>
      <w:r>
        <w:rPr>
          <w:rFonts w:hAnsi="Calibri"/>
          <w:color w:val="000000"/>
          <w:spacing w:val="68"/>
          <w:sz w:val="28"/>
        </w:rPr>
        <w:t xml:space="preserve"> </w:t>
      </w:r>
      <w:r>
        <w:rPr>
          <w:rFonts w:ascii="宋体" w:hAnsi="宋体" w:cs="宋体"/>
          <w:color w:val="000000"/>
          <w:sz w:val="28"/>
        </w:rPr>
        <w:t>《通用计量术语及定义》</w:t>
      </w:r>
    </w:p>
    <w:p w:rsidR="00663AAF" w:rsidRDefault="00663AAF" w:rsidP="00663AAF">
      <w:pPr>
        <w:spacing w:before="249" w:line="291" w:lineRule="exact"/>
        <w:ind w:left="559"/>
        <w:rPr>
          <w:rFonts w:hAnsi="Calibri"/>
          <w:color w:val="000000"/>
          <w:sz w:val="28"/>
        </w:rPr>
      </w:pPr>
      <w:r>
        <w:rPr>
          <w:rFonts w:ascii="宋体" w:hAnsi="Calibri"/>
          <w:color w:val="000000"/>
          <w:sz w:val="28"/>
        </w:rPr>
        <w:t>JJF</w:t>
      </w:r>
      <w:r>
        <w:rPr>
          <w:rFonts w:hAnsi="Calibri"/>
          <w:color w:val="000000"/>
          <w:spacing w:val="70"/>
          <w:sz w:val="28"/>
        </w:rPr>
        <w:t xml:space="preserve"> </w:t>
      </w:r>
      <w:r>
        <w:rPr>
          <w:rFonts w:ascii="宋体" w:hAnsi="宋体" w:cs="宋体"/>
          <w:color w:val="000000"/>
          <w:sz w:val="28"/>
        </w:rPr>
        <w:t>1059.1—2012</w:t>
      </w:r>
      <w:r>
        <w:rPr>
          <w:rFonts w:hAnsi="Calibri"/>
          <w:color w:val="000000"/>
          <w:spacing w:val="71"/>
          <w:sz w:val="28"/>
        </w:rPr>
        <w:t xml:space="preserve"> </w:t>
      </w:r>
      <w:r>
        <w:rPr>
          <w:rFonts w:ascii="宋体" w:hAnsi="宋体" w:cs="宋体"/>
          <w:color w:val="000000"/>
          <w:sz w:val="28"/>
        </w:rPr>
        <w:t>《测量不确定度评定与表示》</w:t>
      </w:r>
    </w:p>
    <w:p w:rsidR="00663AAF" w:rsidRDefault="00663AAF" w:rsidP="00663AAF">
      <w:pPr>
        <w:spacing w:before="249" w:line="291" w:lineRule="exact"/>
        <w:ind w:left="559"/>
        <w:rPr>
          <w:rFonts w:hAnsi="Calibri"/>
          <w:color w:val="000000"/>
          <w:sz w:val="28"/>
        </w:rPr>
      </w:pPr>
      <w:r>
        <w:rPr>
          <w:rFonts w:ascii="宋体" w:hAnsi="Calibri"/>
          <w:color w:val="000000"/>
          <w:sz w:val="28"/>
        </w:rPr>
        <w:t>JJG</w:t>
      </w:r>
      <w:r w:rsidR="00767DEC">
        <w:rPr>
          <w:rFonts w:ascii="宋体" w:hAnsi="Calibri" w:hint="eastAsia"/>
          <w:color w:val="000000"/>
          <w:sz w:val="28"/>
        </w:rPr>
        <w:t xml:space="preserve"> </w:t>
      </w:r>
      <w:r>
        <w:rPr>
          <w:rFonts w:ascii="宋体" w:hAnsi="Calibri"/>
          <w:color w:val="000000"/>
          <w:sz w:val="28"/>
        </w:rPr>
        <w:t>837-2004</w:t>
      </w:r>
      <w:r w:rsidR="000A0987">
        <w:rPr>
          <w:rFonts w:ascii="宋体" w:hAnsi="Calibri" w:hint="eastAsia"/>
          <w:color w:val="000000"/>
          <w:sz w:val="28"/>
        </w:rPr>
        <w:t xml:space="preserve">  </w:t>
      </w:r>
      <w:r>
        <w:rPr>
          <w:rFonts w:ascii="宋体" w:hAnsi="宋体" w:cs="宋体"/>
          <w:color w:val="000000"/>
          <w:sz w:val="28"/>
        </w:rPr>
        <w:t>直流低电阻表检定规程</w:t>
      </w:r>
    </w:p>
    <w:p w:rsidR="00663AAF" w:rsidRDefault="00663AAF" w:rsidP="00663AAF">
      <w:pPr>
        <w:spacing w:before="249" w:line="291" w:lineRule="exact"/>
        <w:ind w:left="559"/>
        <w:rPr>
          <w:rFonts w:ascii="宋体" w:hAnsi="宋体" w:cs="宋体"/>
          <w:color w:val="000000"/>
          <w:sz w:val="28"/>
        </w:rPr>
      </w:pPr>
      <w:r w:rsidRPr="00131256">
        <w:rPr>
          <w:rFonts w:ascii="宋体" w:hAnsi="宋体" w:cs="宋体"/>
          <w:color w:val="000000"/>
          <w:sz w:val="28"/>
        </w:rPr>
        <w:t>JJF</w:t>
      </w:r>
      <w:r w:rsidR="005340AE" w:rsidRPr="00131256">
        <w:rPr>
          <w:rFonts w:ascii="宋体" w:hAnsi="宋体" w:cs="宋体" w:hint="eastAsia"/>
          <w:color w:val="000000"/>
          <w:sz w:val="28"/>
        </w:rPr>
        <w:t xml:space="preserve"> </w:t>
      </w:r>
      <w:r w:rsidRPr="00131256">
        <w:rPr>
          <w:rFonts w:ascii="宋体" w:hAnsi="宋体" w:cs="宋体"/>
          <w:color w:val="000000"/>
          <w:sz w:val="28"/>
        </w:rPr>
        <w:t>1587-2016</w:t>
      </w:r>
      <w:r w:rsidR="000A0987">
        <w:rPr>
          <w:rFonts w:ascii="宋体" w:hAnsi="宋体" w:cs="宋体" w:hint="eastAsia"/>
          <w:color w:val="000000"/>
          <w:sz w:val="28"/>
        </w:rPr>
        <w:t xml:space="preserve"> </w:t>
      </w:r>
      <w:r w:rsidRPr="00131256">
        <w:rPr>
          <w:rFonts w:ascii="宋体" w:hAnsi="宋体" w:cs="宋体"/>
          <w:color w:val="000000"/>
          <w:sz w:val="28"/>
        </w:rPr>
        <w:t xml:space="preserve"> </w:t>
      </w:r>
      <w:r>
        <w:rPr>
          <w:rFonts w:ascii="宋体" w:hAnsi="宋体" w:cs="宋体"/>
          <w:color w:val="000000"/>
          <w:sz w:val="28"/>
        </w:rPr>
        <w:t>数字多用表校准规范</w:t>
      </w:r>
    </w:p>
    <w:p w:rsidR="00131256" w:rsidRPr="00131256" w:rsidRDefault="00131256" w:rsidP="00131256">
      <w:pPr>
        <w:spacing w:before="249" w:line="291" w:lineRule="exact"/>
        <w:ind w:left="559"/>
        <w:rPr>
          <w:rFonts w:ascii="宋体" w:hAnsi="宋体" w:cs="宋体"/>
          <w:color w:val="000000"/>
          <w:sz w:val="28"/>
        </w:rPr>
      </w:pPr>
      <w:r w:rsidRPr="00131256">
        <w:rPr>
          <w:rFonts w:ascii="宋体" w:hAnsi="宋体" w:cs="宋体" w:hint="eastAsia"/>
          <w:color w:val="000000"/>
          <w:sz w:val="28"/>
        </w:rPr>
        <w:t xml:space="preserve">GB 50057—2010 </w:t>
      </w:r>
      <w:r w:rsidR="000A0987">
        <w:rPr>
          <w:rFonts w:ascii="宋体" w:hAnsi="宋体" w:cs="宋体" w:hint="eastAsia"/>
          <w:color w:val="000000"/>
          <w:sz w:val="28"/>
        </w:rPr>
        <w:t xml:space="preserve"> </w:t>
      </w:r>
      <w:r w:rsidRPr="00131256">
        <w:rPr>
          <w:rFonts w:ascii="宋体" w:hAnsi="宋体" w:cs="宋体" w:hint="eastAsia"/>
          <w:color w:val="000000"/>
          <w:sz w:val="28"/>
        </w:rPr>
        <w:t>建筑物防雷设计规范</w:t>
      </w:r>
    </w:p>
    <w:p w:rsid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lastRenderedPageBreak/>
        <w:t>本规范编制中，凡是注日期的引用文件，仅注日期的版本适用于本规范；凡是不注日期的引用文件，其最新版本（包括所有的修改单）适用于本规范。</w:t>
      </w:r>
    </w:p>
    <w:p w:rsidR="000A0987" w:rsidRPr="000A0987" w:rsidRDefault="000A0987" w:rsidP="000A0987">
      <w:pPr>
        <w:spacing w:before="249" w:line="291" w:lineRule="exact"/>
        <w:ind w:left="559"/>
        <w:rPr>
          <w:rFonts w:ascii="宋体" w:hAnsi="宋体" w:cs="宋体"/>
          <w:color w:val="000000"/>
          <w:sz w:val="28"/>
        </w:rPr>
      </w:pPr>
      <w:bookmarkStart w:id="1" w:name="_Toc16993"/>
      <w:bookmarkStart w:id="2" w:name="_Toc137735381"/>
      <w:r>
        <w:rPr>
          <w:rFonts w:ascii="宋体" w:hAnsi="宋体" w:cs="宋体" w:hint="eastAsia"/>
          <w:color w:val="000000"/>
          <w:sz w:val="28"/>
        </w:rPr>
        <w:t>4．</w:t>
      </w:r>
      <w:r w:rsidRPr="000A0987">
        <w:rPr>
          <w:rFonts w:ascii="宋体" w:hAnsi="宋体" w:cs="宋体" w:hint="eastAsia"/>
          <w:color w:val="000000"/>
          <w:sz w:val="28"/>
        </w:rPr>
        <w:t xml:space="preserve">术语和计量单位 </w:t>
      </w:r>
    </w:p>
    <w:p w:rsidR="000A0987" w:rsidRPr="000A0987" w:rsidRDefault="000A0987" w:rsidP="000A0987">
      <w:pPr>
        <w:ind w:firstLine="570"/>
        <w:jc w:val="left"/>
        <w:rPr>
          <w:rFonts w:ascii="宋体" w:hAnsi="宋体" w:cs="宋体"/>
          <w:color w:val="000000"/>
          <w:spacing w:val="-1"/>
          <w:kern w:val="0"/>
          <w:sz w:val="28"/>
        </w:rPr>
      </w:pPr>
      <w:r w:rsidRPr="000A0987">
        <w:rPr>
          <w:rFonts w:ascii="宋体" w:hAnsi="宋体" w:cs="宋体" w:hint="eastAsia"/>
          <w:color w:val="000000"/>
          <w:spacing w:val="-1"/>
          <w:kern w:val="0"/>
          <w:sz w:val="28"/>
        </w:rPr>
        <w:t>下列术语和定义适应于本规范。</w:t>
      </w:r>
      <w:r>
        <w:rPr>
          <w:rFonts w:ascii="宋体" w:hAnsi="宋体" w:cs="宋体" w:hint="eastAsia"/>
          <w:color w:val="000000"/>
          <w:spacing w:val="-1"/>
          <w:kern w:val="0"/>
          <w:sz w:val="28"/>
        </w:rPr>
        <w:t>（</w:t>
      </w:r>
      <w:r w:rsidRPr="000A0987">
        <w:rPr>
          <w:rFonts w:ascii="宋体" w:hAnsi="宋体" w:cs="宋体" w:hint="eastAsia"/>
          <w:color w:val="000000"/>
          <w:spacing w:val="-1"/>
          <w:kern w:val="0"/>
          <w:sz w:val="28"/>
        </w:rPr>
        <w:t>等电位</w:t>
      </w:r>
      <w:r>
        <w:rPr>
          <w:rFonts w:ascii="宋体" w:hAnsi="宋体" w:cs="宋体" w:hint="eastAsia"/>
          <w:color w:val="000000"/>
          <w:spacing w:val="-1"/>
          <w:kern w:val="0"/>
          <w:sz w:val="28"/>
        </w:rPr>
        <w:t>、</w:t>
      </w:r>
      <w:r w:rsidRPr="000A0987">
        <w:rPr>
          <w:rFonts w:ascii="宋体" w:hAnsi="宋体" w:cs="宋体" w:hint="eastAsia"/>
          <w:color w:val="000000"/>
          <w:spacing w:val="-1"/>
          <w:kern w:val="0"/>
          <w:sz w:val="28"/>
        </w:rPr>
        <w:t xml:space="preserve"> 等电位连接</w:t>
      </w:r>
      <w:r>
        <w:rPr>
          <w:rFonts w:ascii="宋体" w:hAnsi="宋体" w:cs="宋体" w:hint="eastAsia"/>
          <w:color w:val="000000"/>
          <w:spacing w:val="-1"/>
          <w:kern w:val="0"/>
          <w:sz w:val="28"/>
        </w:rPr>
        <w:t>）</w:t>
      </w:r>
    </w:p>
    <w:bookmarkEnd w:id="1"/>
    <w:bookmarkEnd w:id="2"/>
    <w:p w:rsidR="00663AAF" w:rsidRPr="00663AAF" w:rsidRDefault="000A0987" w:rsidP="00663AAF">
      <w:pPr>
        <w:ind w:firstLine="570"/>
        <w:jc w:val="left"/>
        <w:rPr>
          <w:rFonts w:ascii="宋体" w:hAnsi="宋体" w:cs="宋体"/>
          <w:color w:val="000000"/>
          <w:spacing w:val="-1"/>
          <w:kern w:val="0"/>
          <w:sz w:val="28"/>
        </w:rPr>
      </w:pPr>
      <w:r>
        <w:rPr>
          <w:rFonts w:ascii="宋体" w:hAnsi="宋体" w:cs="宋体" w:hint="eastAsia"/>
          <w:color w:val="000000"/>
          <w:spacing w:val="-1"/>
          <w:kern w:val="0"/>
          <w:sz w:val="28"/>
        </w:rPr>
        <w:t>5</w:t>
      </w:r>
      <w:r w:rsidR="00663AAF" w:rsidRPr="00663AAF">
        <w:rPr>
          <w:rFonts w:ascii="宋体" w:hAnsi="宋体" w:cs="宋体"/>
          <w:color w:val="000000"/>
          <w:spacing w:val="-1"/>
          <w:kern w:val="0"/>
          <w:sz w:val="28"/>
        </w:rPr>
        <w:t>. 计量性能</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根据等电位测试仪生产企业技术能力、产品计量性能、现有校准规范对部分计量特性的要求，对等电位测试仪的</w:t>
      </w:r>
      <w:r w:rsidR="000A0987">
        <w:rPr>
          <w:rFonts w:ascii="宋体" w:hAnsi="宋体" w:cs="宋体" w:hint="eastAsia"/>
          <w:color w:val="000000"/>
          <w:spacing w:val="-1"/>
          <w:kern w:val="0"/>
          <w:sz w:val="28"/>
        </w:rPr>
        <w:t>连接</w:t>
      </w:r>
      <w:r w:rsidRPr="00663AAF">
        <w:rPr>
          <w:rFonts w:ascii="宋体" w:hAnsi="宋体" w:cs="宋体"/>
          <w:color w:val="000000"/>
          <w:spacing w:val="-1"/>
          <w:kern w:val="0"/>
          <w:sz w:val="28"/>
        </w:rPr>
        <w:t>电阻的示值误差表示方式和用于校准参考的最大允差进行了要求。</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5. 标准器的选择</w:t>
      </w:r>
    </w:p>
    <w:p w:rsidR="00663AAF" w:rsidRDefault="00663AAF" w:rsidP="009424E3">
      <w:pPr>
        <w:ind w:firstLine="570"/>
        <w:jc w:val="left"/>
        <w:rPr>
          <w:rFonts w:hAnsi="Calibri"/>
          <w:color w:val="000000"/>
          <w:sz w:val="28"/>
        </w:rPr>
      </w:pPr>
      <w:r w:rsidRPr="00663AAF">
        <w:rPr>
          <w:rFonts w:ascii="宋体" w:hAnsi="宋体" w:cs="宋体"/>
          <w:color w:val="000000"/>
          <w:spacing w:val="-1"/>
          <w:kern w:val="0"/>
          <w:sz w:val="28"/>
        </w:rPr>
        <w:t xml:space="preserve"> 根据被校等电位测试仪的最大允许误差、量值溯源传递方式以及大量的前期试验，确定了</w:t>
      </w:r>
      <w:r w:rsidR="009424E3">
        <w:rPr>
          <w:rFonts w:ascii="宋体" w:hAnsi="宋体" w:cs="宋体" w:hint="eastAsia"/>
          <w:color w:val="000000"/>
          <w:spacing w:val="-1"/>
          <w:kern w:val="0"/>
          <w:sz w:val="28"/>
        </w:rPr>
        <w:t>标准电阻器或标准电阻箱为</w:t>
      </w:r>
      <w:r w:rsidRPr="00663AAF">
        <w:rPr>
          <w:rFonts w:ascii="宋体" w:hAnsi="宋体" w:cs="宋体"/>
          <w:color w:val="000000"/>
          <w:spacing w:val="-1"/>
          <w:kern w:val="0"/>
          <w:sz w:val="28"/>
        </w:rPr>
        <w:t>主</w:t>
      </w:r>
      <w:r w:rsidR="009424E3">
        <w:rPr>
          <w:rFonts w:ascii="宋体" w:hAnsi="宋体" w:cs="宋体" w:hint="eastAsia"/>
          <w:color w:val="000000"/>
          <w:spacing w:val="-1"/>
          <w:kern w:val="0"/>
          <w:sz w:val="28"/>
        </w:rPr>
        <w:t>要</w:t>
      </w:r>
      <w:r w:rsidRPr="00663AAF">
        <w:rPr>
          <w:rFonts w:ascii="宋体" w:hAnsi="宋体" w:cs="宋体"/>
          <w:color w:val="000000"/>
          <w:spacing w:val="-1"/>
          <w:kern w:val="0"/>
          <w:sz w:val="28"/>
        </w:rPr>
        <w:t>的计量标准器，并对标准器的计量性能予以了规定，</w:t>
      </w:r>
      <w:r w:rsidR="009424E3">
        <w:rPr>
          <w:rFonts w:ascii="宋体" w:hAnsi="宋体" w:cs="宋体" w:hint="eastAsia"/>
          <w:color w:val="000000"/>
          <w:spacing w:val="-1"/>
          <w:kern w:val="0"/>
          <w:sz w:val="28"/>
        </w:rPr>
        <w:t>标准电阻器或标准电阻箱</w:t>
      </w:r>
      <w:r w:rsidRPr="00663AAF">
        <w:rPr>
          <w:rFonts w:ascii="宋体" w:hAnsi="宋体" w:cs="宋体"/>
          <w:color w:val="000000"/>
          <w:spacing w:val="-1"/>
          <w:kern w:val="0"/>
          <w:sz w:val="28"/>
        </w:rPr>
        <w:t>的扩展不确定度（</w:t>
      </w:r>
      <w:r w:rsidRPr="00663AAF">
        <w:rPr>
          <w:rFonts w:ascii="宋体" w:hAnsi="宋体" w:cs="宋体"/>
          <w:i/>
          <w:color w:val="000000"/>
          <w:spacing w:val="-1"/>
          <w:kern w:val="0"/>
          <w:sz w:val="28"/>
        </w:rPr>
        <w:t>k</w:t>
      </w:r>
      <w:r w:rsidRPr="00663AAF">
        <w:rPr>
          <w:rFonts w:ascii="宋体" w:hAnsi="宋体" w:cs="宋体"/>
          <w:color w:val="000000"/>
          <w:spacing w:val="-1"/>
          <w:kern w:val="0"/>
          <w:sz w:val="28"/>
        </w:rPr>
        <w:t>=2）应小于被校电测量仪表最大允许误差绝对值的 1/3。</w:t>
      </w:r>
      <w:r w:rsidR="009424E3">
        <w:rPr>
          <w:rFonts w:ascii="宋体" w:hAnsi="宋体" w:cs="宋体" w:hint="eastAsia"/>
          <w:color w:val="000000"/>
          <w:spacing w:val="-1"/>
          <w:kern w:val="0"/>
          <w:sz w:val="28"/>
        </w:rPr>
        <w:t>标准电阻器或标准电阻箱</w:t>
      </w:r>
      <w:r w:rsidRPr="00663AAF">
        <w:rPr>
          <w:rFonts w:ascii="宋体" w:hAnsi="宋体" w:cs="宋体"/>
          <w:color w:val="000000"/>
          <w:spacing w:val="-1"/>
          <w:kern w:val="0"/>
          <w:sz w:val="28"/>
        </w:rPr>
        <w:t>测量范围应完全覆盖被校电测量仪表的测量</w:t>
      </w:r>
      <w:r>
        <w:rPr>
          <w:rFonts w:ascii="宋体" w:hAnsi="宋体" w:cs="宋体"/>
          <w:color w:val="000000"/>
          <w:sz w:val="28"/>
        </w:rPr>
        <w:t>范围。</w:t>
      </w:r>
    </w:p>
    <w:p w:rsidR="00663AAF" w:rsidRDefault="00663AAF" w:rsidP="00663AAF">
      <w:pPr>
        <w:spacing w:before="249" w:line="291" w:lineRule="exact"/>
        <w:ind w:left="559"/>
        <w:rPr>
          <w:rFonts w:hAnsi="Calibri"/>
          <w:color w:val="000000"/>
          <w:sz w:val="28"/>
        </w:rPr>
      </w:pPr>
      <w:r>
        <w:rPr>
          <w:rFonts w:ascii="宋体" w:hAnsi="宋体" w:cs="宋体"/>
          <w:color w:val="000000"/>
          <w:spacing w:val="1"/>
          <w:sz w:val="28"/>
        </w:rPr>
        <w:t>6．校准方法</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校准项目包括：</w:t>
      </w:r>
      <w:r w:rsidR="000A0987">
        <w:rPr>
          <w:rFonts w:ascii="宋体" w:hAnsi="宋体" w:cs="宋体" w:hint="eastAsia"/>
          <w:color w:val="000000"/>
          <w:spacing w:val="-1"/>
          <w:kern w:val="0"/>
          <w:sz w:val="28"/>
        </w:rPr>
        <w:t>连接</w:t>
      </w:r>
      <w:r w:rsidRPr="00663AAF">
        <w:rPr>
          <w:rFonts w:ascii="宋体" w:hAnsi="宋体" w:cs="宋体"/>
          <w:color w:val="000000"/>
          <w:spacing w:val="-1"/>
          <w:kern w:val="0"/>
          <w:sz w:val="28"/>
        </w:rPr>
        <w:t>电阻示值误差。</w:t>
      </w:r>
      <w:r w:rsidR="009424E3" w:rsidRPr="009424E3">
        <w:rPr>
          <w:rFonts w:ascii="宋体" w:hAnsi="宋体" w:cs="宋体" w:hint="eastAsia"/>
          <w:color w:val="000000"/>
          <w:spacing w:val="-1"/>
          <w:kern w:val="0"/>
          <w:sz w:val="28"/>
        </w:rPr>
        <w:t>测试仪的测量端子直接与标准器相接，调节标准器至校准点，接通测试仪连接电阻测量开关，当被校测试仪的工作电流或电压稳定后，读取被校准测试仪连接电阻测量值。</w:t>
      </w:r>
      <w:r w:rsidRPr="00663AAF">
        <w:rPr>
          <w:rFonts w:ascii="宋体" w:hAnsi="宋体" w:cs="宋体"/>
          <w:color w:val="000000"/>
          <w:spacing w:val="-1"/>
          <w:kern w:val="0"/>
          <w:sz w:val="28"/>
        </w:rPr>
        <w:t>根据产品设计与性能，对等电位测试仪的各校准项目对应的计量性能和校准方法进行详细叙述，</w:t>
      </w:r>
      <w:r w:rsidR="004932A6">
        <w:rPr>
          <w:rFonts w:ascii="宋体" w:hAnsi="宋体" w:cs="宋体" w:hint="eastAsia"/>
          <w:color w:val="000000"/>
          <w:spacing w:val="-1"/>
          <w:kern w:val="0"/>
          <w:sz w:val="28"/>
        </w:rPr>
        <w:t>7</w:t>
      </w:r>
      <w:r w:rsidRPr="00663AAF">
        <w:rPr>
          <w:rFonts w:ascii="宋体" w:hAnsi="宋体" w:cs="宋体"/>
          <w:color w:val="000000"/>
          <w:spacing w:val="-1"/>
          <w:kern w:val="0"/>
          <w:sz w:val="28"/>
        </w:rPr>
        <w:t xml:space="preserve">.1 为校准项目， </w:t>
      </w:r>
      <w:r w:rsidR="004932A6">
        <w:rPr>
          <w:rFonts w:ascii="宋体" w:hAnsi="宋体" w:cs="宋体" w:hint="eastAsia"/>
          <w:color w:val="000000"/>
          <w:spacing w:val="-1"/>
          <w:kern w:val="0"/>
          <w:sz w:val="28"/>
        </w:rPr>
        <w:t>7</w:t>
      </w:r>
      <w:r w:rsidRPr="00663AAF">
        <w:rPr>
          <w:rFonts w:ascii="宋体" w:hAnsi="宋体" w:cs="宋体"/>
          <w:color w:val="000000"/>
          <w:spacing w:val="-1"/>
          <w:kern w:val="0"/>
          <w:sz w:val="28"/>
        </w:rPr>
        <w:t>.2 为校准方</w:t>
      </w:r>
      <w:r w:rsidRPr="00663AAF">
        <w:rPr>
          <w:rFonts w:ascii="宋体" w:hAnsi="宋体" w:cs="宋体"/>
          <w:color w:val="000000"/>
          <w:spacing w:val="-1"/>
          <w:kern w:val="0"/>
          <w:sz w:val="28"/>
        </w:rPr>
        <w:lastRenderedPageBreak/>
        <w:t>法。</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7．校准结果的处理</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根据校准项目，设计了原始记录及证书数据页格式，校准数值应按照设定好的格式和要求填写原始记录（见附表 A）；并在校准后出具校准证书。当用户有特殊要求时，应按照用户要求测量内容及测量点出具校准证书，证书中应给出测量不确定度，其评定应符合 JJF 1059.1-2012《测量不确定度评定与表示》要求。</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建议复校时间间隔不超过 12 个月。由于复校时间间隔的长短是由仪器的使用情况、使用者、仪器本身质量等诸因素所决定的，因此，送校单位可根据实际使用情况自主决定复校时间间隔。</w:t>
      </w:r>
    </w:p>
    <w:p w:rsidR="00663AAF" w:rsidRPr="00663AAF" w:rsidRDefault="00663AAF" w:rsidP="00663AAF">
      <w:pPr>
        <w:ind w:firstLine="570"/>
        <w:jc w:val="left"/>
        <w:rPr>
          <w:rFonts w:ascii="宋体" w:hAnsi="宋体" w:cs="宋体"/>
          <w:color w:val="000000"/>
          <w:spacing w:val="-1"/>
          <w:kern w:val="0"/>
          <w:sz w:val="28"/>
        </w:rPr>
      </w:pPr>
    </w:p>
    <w:p w:rsidR="00663AAF" w:rsidRPr="00663AAF" w:rsidRDefault="00663AAF" w:rsidP="00663AAF">
      <w:pPr>
        <w:ind w:firstLine="570"/>
        <w:jc w:val="left"/>
      </w:pPr>
    </w:p>
    <w:sectPr w:rsidR="00663AAF" w:rsidRPr="00663A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23" w:rsidRDefault="00E55223" w:rsidP="00663AAF">
      <w:r>
        <w:separator/>
      </w:r>
    </w:p>
  </w:endnote>
  <w:endnote w:type="continuationSeparator" w:id="0">
    <w:p w:rsidR="00E55223" w:rsidRDefault="00E55223" w:rsidP="0066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23" w:rsidRDefault="00E55223" w:rsidP="00663AAF">
      <w:r>
        <w:separator/>
      </w:r>
    </w:p>
  </w:footnote>
  <w:footnote w:type="continuationSeparator" w:id="0">
    <w:p w:rsidR="00E55223" w:rsidRDefault="00E55223" w:rsidP="00663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09F2"/>
    <w:multiLevelType w:val="hybridMultilevel"/>
    <w:tmpl w:val="BA56F38C"/>
    <w:lvl w:ilvl="0" w:tplc="068A18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AF"/>
    <w:rsid w:val="000A0987"/>
    <w:rsid w:val="000A78F8"/>
    <w:rsid w:val="000B7C85"/>
    <w:rsid w:val="000C32FE"/>
    <w:rsid w:val="00131256"/>
    <w:rsid w:val="00256233"/>
    <w:rsid w:val="002C55C7"/>
    <w:rsid w:val="00393ABB"/>
    <w:rsid w:val="004932A6"/>
    <w:rsid w:val="005119E5"/>
    <w:rsid w:val="005340AE"/>
    <w:rsid w:val="00586D53"/>
    <w:rsid w:val="00663AAF"/>
    <w:rsid w:val="00767DEC"/>
    <w:rsid w:val="00852F99"/>
    <w:rsid w:val="008D4E13"/>
    <w:rsid w:val="009343FF"/>
    <w:rsid w:val="009424E3"/>
    <w:rsid w:val="009E561F"/>
    <w:rsid w:val="00A45D63"/>
    <w:rsid w:val="00C5156D"/>
    <w:rsid w:val="00CB765D"/>
    <w:rsid w:val="00D52A56"/>
    <w:rsid w:val="00DB2224"/>
    <w:rsid w:val="00DD4332"/>
    <w:rsid w:val="00E26E84"/>
    <w:rsid w:val="00E55223"/>
    <w:rsid w:val="00F22DD9"/>
    <w:rsid w:val="00F44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0A0987"/>
    <w:pPr>
      <w:keepNext/>
      <w:keepLines/>
      <w:spacing w:before="340" w:after="330" w:line="576" w:lineRule="auto"/>
      <w:outlineLvl w:val="0"/>
    </w:pPr>
    <w:rPr>
      <w:rFonts w:ascii="Calibri" w:eastAsia="宋体" w:hAnsi="Calibri" w:cs="Times New Roman"/>
      <w:b/>
      <w:kern w:val="44"/>
      <w:sz w:val="44"/>
      <w:szCs w:val="24"/>
    </w:rPr>
  </w:style>
  <w:style w:type="paragraph" w:styleId="2">
    <w:name w:val="heading 2"/>
    <w:basedOn w:val="a"/>
    <w:next w:val="a"/>
    <w:link w:val="2Char"/>
    <w:uiPriority w:val="9"/>
    <w:unhideWhenUsed/>
    <w:qFormat/>
    <w:rsid w:val="000A0987"/>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63AAF"/>
    <w:pPr>
      <w:ind w:leftChars="2500" w:left="100"/>
    </w:pPr>
  </w:style>
  <w:style w:type="character" w:customStyle="1" w:styleId="Char">
    <w:name w:val="日期 Char"/>
    <w:basedOn w:val="a0"/>
    <w:link w:val="a3"/>
    <w:uiPriority w:val="99"/>
    <w:semiHidden/>
    <w:rsid w:val="00663AAF"/>
  </w:style>
  <w:style w:type="paragraph" w:styleId="a4">
    <w:name w:val="header"/>
    <w:basedOn w:val="a"/>
    <w:link w:val="Char0"/>
    <w:uiPriority w:val="99"/>
    <w:unhideWhenUsed/>
    <w:rsid w:val="000C32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C32FE"/>
    <w:rPr>
      <w:sz w:val="18"/>
      <w:szCs w:val="18"/>
    </w:rPr>
  </w:style>
  <w:style w:type="paragraph" w:styleId="a5">
    <w:name w:val="footer"/>
    <w:basedOn w:val="a"/>
    <w:link w:val="Char1"/>
    <w:uiPriority w:val="99"/>
    <w:unhideWhenUsed/>
    <w:rsid w:val="000C32FE"/>
    <w:pPr>
      <w:tabs>
        <w:tab w:val="center" w:pos="4153"/>
        <w:tab w:val="right" w:pos="8306"/>
      </w:tabs>
      <w:snapToGrid w:val="0"/>
      <w:jc w:val="left"/>
    </w:pPr>
    <w:rPr>
      <w:sz w:val="18"/>
      <w:szCs w:val="18"/>
    </w:rPr>
  </w:style>
  <w:style w:type="character" w:customStyle="1" w:styleId="Char1">
    <w:name w:val="页脚 Char"/>
    <w:basedOn w:val="a0"/>
    <w:link w:val="a5"/>
    <w:uiPriority w:val="99"/>
    <w:rsid w:val="000C32FE"/>
    <w:rPr>
      <w:sz w:val="18"/>
      <w:szCs w:val="18"/>
    </w:rPr>
  </w:style>
  <w:style w:type="paragraph" w:styleId="a6">
    <w:name w:val="Balloon Text"/>
    <w:basedOn w:val="a"/>
    <w:link w:val="Char2"/>
    <w:uiPriority w:val="99"/>
    <w:semiHidden/>
    <w:unhideWhenUsed/>
    <w:rsid w:val="000B7C85"/>
    <w:rPr>
      <w:sz w:val="18"/>
      <w:szCs w:val="18"/>
    </w:rPr>
  </w:style>
  <w:style w:type="character" w:customStyle="1" w:styleId="Char2">
    <w:name w:val="批注框文本 Char"/>
    <w:basedOn w:val="a0"/>
    <w:link w:val="a6"/>
    <w:uiPriority w:val="99"/>
    <w:semiHidden/>
    <w:rsid w:val="000B7C85"/>
    <w:rPr>
      <w:sz w:val="18"/>
      <w:szCs w:val="18"/>
    </w:rPr>
  </w:style>
  <w:style w:type="character" w:customStyle="1" w:styleId="1Char">
    <w:name w:val="标题 1 Char"/>
    <w:basedOn w:val="a0"/>
    <w:link w:val="1"/>
    <w:qFormat/>
    <w:rsid w:val="000A0987"/>
    <w:rPr>
      <w:rFonts w:ascii="Calibri" w:eastAsia="宋体" w:hAnsi="Calibri" w:cs="Times New Roman"/>
      <w:b/>
      <w:kern w:val="44"/>
      <w:sz w:val="44"/>
      <w:szCs w:val="24"/>
    </w:rPr>
  </w:style>
  <w:style w:type="character" w:customStyle="1" w:styleId="2Char">
    <w:name w:val="标题 2 Char"/>
    <w:basedOn w:val="a0"/>
    <w:link w:val="2"/>
    <w:uiPriority w:val="9"/>
    <w:qFormat/>
    <w:rsid w:val="000A0987"/>
    <w:rPr>
      <w:rFonts w:ascii="Arial" w:eastAsia="黑体" w:hAnsi="Arial"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0A0987"/>
    <w:pPr>
      <w:keepNext/>
      <w:keepLines/>
      <w:spacing w:before="340" w:after="330" w:line="576" w:lineRule="auto"/>
      <w:outlineLvl w:val="0"/>
    </w:pPr>
    <w:rPr>
      <w:rFonts w:ascii="Calibri" w:eastAsia="宋体" w:hAnsi="Calibri" w:cs="Times New Roman"/>
      <w:b/>
      <w:kern w:val="44"/>
      <w:sz w:val="44"/>
      <w:szCs w:val="24"/>
    </w:rPr>
  </w:style>
  <w:style w:type="paragraph" w:styleId="2">
    <w:name w:val="heading 2"/>
    <w:basedOn w:val="a"/>
    <w:next w:val="a"/>
    <w:link w:val="2Char"/>
    <w:uiPriority w:val="9"/>
    <w:unhideWhenUsed/>
    <w:qFormat/>
    <w:rsid w:val="000A0987"/>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63AAF"/>
    <w:pPr>
      <w:ind w:leftChars="2500" w:left="100"/>
    </w:pPr>
  </w:style>
  <w:style w:type="character" w:customStyle="1" w:styleId="Char">
    <w:name w:val="日期 Char"/>
    <w:basedOn w:val="a0"/>
    <w:link w:val="a3"/>
    <w:uiPriority w:val="99"/>
    <w:semiHidden/>
    <w:rsid w:val="00663AAF"/>
  </w:style>
  <w:style w:type="paragraph" w:styleId="a4">
    <w:name w:val="header"/>
    <w:basedOn w:val="a"/>
    <w:link w:val="Char0"/>
    <w:uiPriority w:val="99"/>
    <w:unhideWhenUsed/>
    <w:rsid w:val="000C32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C32FE"/>
    <w:rPr>
      <w:sz w:val="18"/>
      <w:szCs w:val="18"/>
    </w:rPr>
  </w:style>
  <w:style w:type="paragraph" w:styleId="a5">
    <w:name w:val="footer"/>
    <w:basedOn w:val="a"/>
    <w:link w:val="Char1"/>
    <w:uiPriority w:val="99"/>
    <w:unhideWhenUsed/>
    <w:rsid w:val="000C32FE"/>
    <w:pPr>
      <w:tabs>
        <w:tab w:val="center" w:pos="4153"/>
        <w:tab w:val="right" w:pos="8306"/>
      </w:tabs>
      <w:snapToGrid w:val="0"/>
      <w:jc w:val="left"/>
    </w:pPr>
    <w:rPr>
      <w:sz w:val="18"/>
      <w:szCs w:val="18"/>
    </w:rPr>
  </w:style>
  <w:style w:type="character" w:customStyle="1" w:styleId="Char1">
    <w:name w:val="页脚 Char"/>
    <w:basedOn w:val="a0"/>
    <w:link w:val="a5"/>
    <w:uiPriority w:val="99"/>
    <w:rsid w:val="000C32FE"/>
    <w:rPr>
      <w:sz w:val="18"/>
      <w:szCs w:val="18"/>
    </w:rPr>
  </w:style>
  <w:style w:type="paragraph" w:styleId="a6">
    <w:name w:val="Balloon Text"/>
    <w:basedOn w:val="a"/>
    <w:link w:val="Char2"/>
    <w:uiPriority w:val="99"/>
    <w:semiHidden/>
    <w:unhideWhenUsed/>
    <w:rsid w:val="000B7C85"/>
    <w:rPr>
      <w:sz w:val="18"/>
      <w:szCs w:val="18"/>
    </w:rPr>
  </w:style>
  <w:style w:type="character" w:customStyle="1" w:styleId="Char2">
    <w:name w:val="批注框文本 Char"/>
    <w:basedOn w:val="a0"/>
    <w:link w:val="a6"/>
    <w:uiPriority w:val="99"/>
    <w:semiHidden/>
    <w:rsid w:val="000B7C85"/>
    <w:rPr>
      <w:sz w:val="18"/>
      <w:szCs w:val="18"/>
    </w:rPr>
  </w:style>
  <w:style w:type="character" w:customStyle="1" w:styleId="1Char">
    <w:name w:val="标题 1 Char"/>
    <w:basedOn w:val="a0"/>
    <w:link w:val="1"/>
    <w:qFormat/>
    <w:rsid w:val="000A0987"/>
    <w:rPr>
      <w:rFonts w:ascii="Calibri" w:eastAsia="宋体" w:hAnsi="Calibri" w:cs="Times New Roman"/>
      <w:b/>
      <w:kern w:val="44"/>
      <w:sz w:val="44"/>
      <w:szCs w:val="24"/>
    </w:rPr>
  </w:style>
  <w:style w:type="character" w:customStyle="1" w:styleId="2Char">
    <w:name w:val="标题 2 Char"/>
    <w:basedOn w:val="a0"/>
    <w:link w:val="2"/>
    <w:uiPriority w:val="9"/>
    <w:qFormat/>
    <w:rsid w:val="000A0987"/>
    <w:rPr>
      <w:rFonts w:ascii="Arial" w:eastAsia="黑体"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1687</Characters>
  <Application>Microsoft Office Word</Application>
  <DocSecurity>0</DocSecurity>
  <Lines>14</Lines>
  <Paragraphs>3</Paragraphs>
  <ScaleCrop>false</ScaleCrop>
  <Company>微软中国</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2023-05-10T00:31:00Z</cp:lastPrinted>
  <dcterms:created xsi:type="dcterms:W3CDTF">2023-07-26T08:36:00Z</dcterms:created>
  <dcterms:modified xsi:type="dcterms:W3CDTF">2023-07-26T08:36:00Z</dcterms:modified>
</cp:coreProperties>
</file>