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17" w:rsidRDefault="00F92FC5" w:rsidP="00F92FC5">
      <w:pPr>
        <w:spacing w:line="480" w:lineRule="auto"/>
        <w:ind w:firstLineChars="200" w:firstLine="640"/>
        <w:jc w:val="center"/>
        <w:rPr>
          <w:rFonts w:ascii="黑体" w:eastAsia="黑体" w:hAnsi="黑体" w:cs="黑体"/>
          <w:sz w:val="32"/>
          <w:szCs w:val="32"/>
        </w:rPr>
      </w:pPr>
      <w:r w:rsidRPr="00F92FC5">
        <w:rPr>
          <w:rFonts w:ascii="黑体" w:eastAsia="黑体" w:hAnsi="黑体" w:cs="黑体" w:hint="eastAsia"/>
          <w:sz w:val="32"/>
          <w:szCs w:val="32"/>
        </w:rPr>
        <w:t>运行中电子式电能表计量性能在线监测校准规范</w:t>
      </w:r>
      <w:r w:rsidR="003C4F73">
        <w:rPr>
          <w:rFonts w:ascii="黑体" w:eastAsia="黑体" w:hAnsi="黑体" w:cs="黑体" w:hint="eastAsia"/>
          <w:sz w:val="32"/>
          <w:szCs w:val="32"/>
        </w:rPr>
        <w:t>编制说明</w:t>
      </w:r>
    </w:p>
    <w:p w:rsidR="00C91617" w:rsidRDefault="003C4F73">
      <w:pPr>
        <w:rPr>
          <w:b/>
        </w:rPr>
      </w:pPr>
      <w:r>
        <w:rPr>
          <w:rFonts w:hint="eastAsia"/>
          <w:b/>
        </w:rPr>
        <w:t xml:space="preserve">                    </w:t>
      </w:r>
    </w:p>
    <w:p w:rsidR="00C91617" w:rsidRDefault="003C4F73">
      <w:pPr>
        <w:spacing w:line="420" w:lineRule="auto"/>
        <w:rPr>
          <w:rFonts w:ascii="黑体" w:eastAsia="黑体" w:hAnsi="宋体"/>
          <w:b/>
          <w:sz w:val="24"/>
        </w:rPr>
      </w:pPr>
      <w:r>
        <w:rPr>
          <w:rFonts w:ascii="黑体" w:eastAsia="黑体" w:hint="eastAsia"/>
          <w:b/>
          <w:sz w:val="24"/>
        </w:rPr>
        <w:t xml:space="preserve">一、 </w:t>
      </w:r>
      <w:r>
        <w:rPr>
          <w:rFonts w:ascii="黑体" w:eastAsia="黑体" w:hAnsi="宋体" w:hint="eastAsia"/>
          <w:b/>
          <w:sz w:val="24"/>
        </w:rPr>
        <w:t>目的和意义以及编制必要性：</w:t>
      </w:r>
    </w:p>
    <w:p w:rsidR="00C91617" w:rsidRDefault="003C4F73">
      <w:pPr>
        <w:spacing w:line="420" w:lineRule="auto"/>
        <w:ind w:firstLineChars="200" w:firstLine="480"/>
        <w:rPr>
          <w:sz w:val="24"/>
        </w:rPr>
      </w:pPr>
      <w:r>
        <w:rPr>
          <w:sz w:val="24"/>
        </w:rPr>
        <w:t>按照国家市场监督管理总局对重点管理计量器具民用四表有关管理规定，及</w:t>
      </w:r>
      <w:r>
        <w:rPr>
          <w:sz w:val="24"/>
        </w:rPr>
        <w:t> JJG 596-2012</w:t>
      </w:r>
      <w:r>
        <w:rPr>
          <w:sz w:val="24"/>
        </w:rPr>
        <w:t>《电子式交流电能表》国家检定规程要求，我国民用电能表实行的是</w:t>
      </w:r>
      <w:r>
        <w:rPr>
          <w:sz w:val="24"/>
        </w:rPr>
        <w:t>"</w:t>
      </w:r>
      <w:r>
        <w:rPr>
          <w:sz w:val="24"/>
        </w:rPr>
        <w:t>首次检定＋到期轮换</w:t>
      </w:r>
      <w:r>
        <w:rPr>
          <w:sz w:val="24"/>
        </w:rPr>
        <w:t>"</w:t>
      </w:r>
      <w:r>
        <w:rPr>
          <w:sz w:val="24"/>
        </w:rPr>
        <w:t>的管理方式，即在网运行</w:t>
      </w:r>
      <w:proofErr w:type="gramStart"/>
      <w:r>
        <w:rPr>
          <w:sz w:val="24"/>
        </w:rPr>
        <w:t>电能表需在</w:t>
      </w:r>
      <w:proofErr w:type="gramEnd"/>
      <w:r>
        <w:rPr>
          <w:sz w:val="24"/>
        </w:rPr>
        <w:t>8</w:t>
      </w:r>
      <w:r>
        <w:rPr>
          <w:sz w:val="24"/>
        </w:rPr>
        <w:t>年到期全部更换。</w:t>
      </w:r>
    </w:p>
    <w:p w:rsidR="00C91617" w:rsidRDefault="003C4F73">
      <w:pPr>
        <w:spacing w:line="420" w:lineRule="auto"/>
        <w:ind w:firstLineChars="200" w:firstLine="480"/>
        <w:rPr>
          <w:sz w:val="24"/>
        </w:rPr>
      </w:pPr>
      <w:r>
        <w:rPr>
          <w:sz w:val="24"/>
        </w:rPr>
        <w:t>随着智能电网的建设，电子式电能</w:t>
      </w:r>
      <w:proofErr w:type="gramStart"/>
      <w:r>
        <w:rPr>
          <w:sz w:val="24"/>
        </w:rPr>
        <w:t>表逐步</w:t>
      </w:r>
      <w:proofErr w:type="gramEnd"/>
      <w:r>
        <w:rPr>
          <w:sz w:val="24"/>
        </w:rPr>
        <w:t>替代传统的机电式电能表。</w:t>
      </w:r>
      <w:r>
        <w:rPr>
          <w:rFonts w:hint="eastAsia"/>
          <w:sz w:val="24"/>
        </w:rPr>
        <w:t>目前</w:t>
      </w:r>
      <w:r>
        <w:rPr>
          <w:sz w:val="24"/>
        </w:rPr>
        <w:t>贵州省共有</w:t>
      </w:r>
      <w:r>
        <w:rPr>
          <w:rFonts w:hint="eastAsia"/>
          <w:sz w:val="24"/>
        </w:rPr>
        <w:t>18</w:t>
      </w:r>
      <w:r>
        <w:rPr>
          <w:sz w:val="24"/>
        </w:rPr>
        <w:t>00</w:t>
      </w:r>
      <w:r>
        <w:rPr>
          <w:sz w:val="24"/>
        </w:rPr>
        <w:t>余万只电子式电能表（以下简称电能表）挂网运行，部分电能表已逐步达到</w:t>
      </w:r>
      <w:r>
        <w:rPr>
          <w:sz w:val="24"/>
        </w:rPr>
        <w:t>8</w:t>
      </w:r>
      <w:r>
        <w:rPr>
          <w:sz w:val="24"/>
        </w:rPr>
        <w:t>年轮换周期。随着技术进步和制造工艺水平的提高，电能表的实际使用寿命普遍可以达到</w:t>
      </w:r>
      <w:r>
        <w:rPr>
          <w:sz w:val="24"/>
        </w:rPr>
        <w:t>10</w:t>
      </w:r>
      <w:r>
        <w:rPr>
          <w:sz w:val="24"/>
        </w:rPr>
        <w:t>年及以上，若还使用过去</w:t>
      </w:r>
      <w:r>
        <w:rPr>
          <w:sz w:val="24"/>
        </w:rPr>
        <w:t>"</w:t>
      </w:r>
      <w:r>
        <w:rPr>
          <w:sz w:val="24"/>
        </w:rPr>
        <w:t>一刀切</w:t>
      </w:r>
      <w:r>
        <w:rPr>
          <w:sz w:val="24"/>
        </w:rPr>
        <w:t>"</w:t>
      </w:r>
      <w:r>
        <w:rPr>
          <w:sz w:val="24"/>
        </w:rPr>
        <w:t>式的到期轮换方式，将造成极大的资源浪费，与当前倡导的创建资源节约型社会不符。</w:t>
      </w:r>
    </w:p>
    <w:p w:rsidR="00C91617" w:rsidRDefault="00BF6487">
      <w:pPr>
        <w:spacing w:line="420" w:lineRule="auto"/>
        <w:ind w:firstLineChars="200" w:firstLine="480"/>
        <w:rPr>
          <w:rFonts w:ascii="宋体" w:hAnsi="宋体" w:cs="宋体"/>
          <w:sz w:val="24"/>
        </w:rPr>
      </w:pPr>
      <w:r>
        <w:rPr>
          <w:sz w:val="24"/>
        </w:rPr>
        <w:t>为</w:t>
      </w:r>
      <w:r w:rsidR="003C4F73">
        <w:rPr>
          <w:rFonts w:hint="eastAsia"/>
          <w:sz w:val="24"/>
        </w:rPr>
        <w:t>落实国家绿色发展理念，减少电子垃圾产生，实现资源利用最优化，大幅度减少客户换表停电时间，提升优质服务水平，达到利国、利民、利企的目的，</w:t>
      </w:r>
      <w:r w:rsidR="003C4F73">
        <w:rPr>
          <w:sz w:val="24"/>
        </w:rPr>
        <w:t>加强对在运电能表的质量管控，提升运行电能表计量异常处理的能力和效率，将电能表</w:t>
      </w:r>
      <w:r w:rsidR="003C4F73">
        <w:rPr>
          <w:sz w:val="24"/>
        </w:rPr>
        <w:t>"</w:t>
      </w:r>
      <w:r w:rsidR="003C4F73">
        <w:rPr>
          <w:sz w:val="24"/>
        </w:rPr>
        <w:t>到期轮换</w:t>
      </w:r>
      <w:r w:rsidR="003C4F73">
        <w:rPr>
          <w:sz w:val="24"/>
        </w:rPr>
        <w:t>"</w:t>
      </w:r>
      <w:r w:rsidR="003C4F73">
        <w:rPr>
          <w:sz w:val="24"/>
        </w:rPr>
        <w:t>转变为</w:t>
      </w:r>
      <w:r w:rsidR="003C4F73">
        <w:rPr>
          <w:sz w:val="24"/>
        </w:rPr>
        <w:t>"</w:t>
      </w:r>
      <w:r w:rsidR="003C4F73">
        <w:rPr>
          <w:sz w:val="24"/>
        </w:rPr>
        <w:t>状态更换</w:t>
      </w:r>
      <w:r w:rsidR="003C4F73">
        <w:rPr>
          <w:sz w:val="24"/>
        </w:rPr>
        <w:t>"</w:t>
      </w:r>
      <w:r>
        <w:rPr>
          <w:rFonts w:hint="eastAsia"/>
          <w:sz w:val="24"/>
        </w:rPr>
        <w:t>，</w:t>
      </w:r>
      <w:r w:rsidR="003C4F73">
        <w:rPr>
          <w:sz w:val="24"/>
        </w:rPr>
        <w:t>确保电能量准确、公正，</w:t>
      </w:r>
      <w:r>
        <w:rPr>
          <w:sz w:val="24"/>
        </w:rPr>
        <w:t>故</w:t>
      </w:r>
      <w:r w:rsidR="003C4F73">
        <w:rPr>
          <w:sz w:val="24"/>
        </w:rPr>
        <w:t>编制本规程。</w:t>
      </w:r>
    </w:p>
    <w:p w:rsidR="00C91617" w:rsidRDefault="003C4F73">
      <w:pPr>
        <w:spacing w:line="420" w:lineRule="auto"/>
        <w:rPr>
          <w:rFonts w:ascii="黑体" w:eastAsia="黑体"/>
          <w:b/>
          <w:sz w:val="24"/>
        </w:rPr>
      </w:pPr>
      <w:r>
        <w:rPr>
          <w:rFonts w:ascii="黑体" w:eastAsia="黑体" w:hint="eastAsia"/>
          <w:b/>
          <w:sz w:val="24"/>
        </w:rPr>
        <w:t>二、编写原则:</w:t>
      </w:r>
    </w:p>
    <w:p w:rsidR="00C91617" w:rsidRDefault="003C4F73">
      <w:pPr>
        <w:spacing w:line="420" w:lineRule="auto"/>
        <w:ind w:firstLineChars="200" w:firstLine="480"/>
        <w:rPr>
          <w:rFonts w:ascii="宋体" w:hAnsi="宋体" w:cs="宋体"/>
          <w:sz w:val="24"/>
        </w:rPr>
      </w:pPr>
      <w:r>
        <w:rPr>
          <w:rFonts w:hint="eastAsia"/>
          <w:sz w:val="24"/>
        </w:rPr>
        <w:t>本规范依据国家计量技术规范</w:t>
      </w:r>
      <w:r>
        <w:rPr>
          <w:rFonts w:hint="eastAsia"/>
          <w:sz w:val="24"/>
        </w:rPr>
        <w:t>JJF 1071-2010</w:t>
      </w:r>
      <w:r>
        <w:rPr>
          <w:rFonts w:hint="eastAsia"/>
          <w:sz w:val="24"/>
        </w:rPr>
        <w:t>《国家计量校准规范编写规则》编写，相关术语遵循</w:t>
      </w:r>
      <w:r>
        <w:rPr>
          <w:rFonts w:hint="eastAsia"/>
          <w:sz w:val="24"/>
        </w:rPr>
        <w:t>JJF 1001-2011</w:t>
      </w:r>
      <w:r>
        <w:rPr>
          <w:rFonts w:hint="eastAsia"/>
          <w:sz w:val="24"/>
        </w:rPr>
        <w:t>《通用计量术语及定义》中的相关要求。</w:t>
      </w:r>
    </w:p>
    <w:p w:rsidR="00C91617" w:rsidRDefault="003C4F73">
      <w:pPr>
        <w:spacing w:line="420" w:lineRule="auto"/>
        <w:rPr>
          <w:rFonts w:ascii="宋体" w:hAnsi="宋体" w:cs="宋体"/>
          <w:sz w:val="24"/>
        </w:rPr>
      </w:pPr>
      <w:r>
        <w:rPr>
          <w:rFonts w:ascii="黑体" w:eastAsia="黑体" w:hint="eastAsia"/>
          <w:b/>
          <w:bCs/>
          <w:sz w:val="24"/>
        </w:rPr>
        <w:t>三、制定规范的依据、</w:t>
      </w:r>
      <w:r>
        <w:rPr>
          <w:rFonts w:ascii="黑体" w:eastAsia="黑体" w:hAnsi="宋体" w:hint="eastAsia"/>
          <w:b/>
          <w:bCs/>
          <w:sz w:val="24"/>
        </w:rPr>
        <w:t>引用及参考文献：</w:t>
      </w:r>
    </w:p>
    <w:p w:rsidR="00EC1293" w:rsidRDefault="00EC1293" w:rsidP="00EC1293">
      <w:pPr>
        <w:spacing w:line="360" w:lineRule="auto"/>
        <w:ind w:firstLineChars="200" w:firstLine="480"/>
        <w:rPr>
          <w:rFonts w:ascii="宋体" w:hAnsi="宋体" w:cs="宋体"/>
          <w:sz w:val="24"/>
        </w:rPr>
      </w:pPr>
      <w:r>
        <w:rPr>
          <w:rFonts w:ascii="宋体" w:hAnsi="宋体" w:cs="宋体" w:hint="eastAsia"/>
          <w:sz w:val="24"/>
        </w:rPr>
        <w:t>JJG 596-2012 电子式交流电能表</w:t>
      </w:r>
    </w:p>
    <w:p w:rsidR="00EC1293" w:rsidRDefault="00EC1293" w:rsidP="00EC1293">
      <w:pPr>
        <w:spacing w:line="360" w:lineRule="auto"/>
        <w:ind w:firstLineChars="200" w:firstLine="480"/>
        <w:rPr>
          <w:rFonts w:ascii="宋体" w:hAnsi="宋体" w:cs="宋体"/>
          <w:sz w:val="24"/>
        </w:rPr>
      </w:pPr>
      <w:r>
        <w:rPr>
          <w:rFonts w:ascii="宋体" w:hAnsi="宋体" w:cs="宋体" w:hint="eastAsia"/>
          <w:sz w:val="24"/>
        </w:rPr>
        <w:t>GB/T 2828.2-2008 计数抽样检验程序第2部分：按极限质量（LQ）检索的孤立批检验抽样方案</w:t>
      </w:r>
    </w:p>
    <w:p w:rsidR="00EC1293" w:rsidRDefault="00EC1293" w:rsidP="00EC1293">
      <w:pPr>
        <w:spacing w:line="360" w:lineRule="auto"/>
        <w:ind w:firstLineChars="200" w:firstLine="480"/>
        <w:rPr>
          <w:rFonts w:ascii="宋体" w:hAnsi="宋体" w:cs="宋体"/>
          <w:sz w:val="24"/>
        </w:rPr>
      </w:pPr>
      <w:r>
        <w:rPr>
          <w:rFonts w:ascii="宋体" w:hAnsi="宋体" w:cs="宋体" w:hint="eastAsia"/>
          <w:sz w:val="24"/>
        </w:rPr>
        <w:t>GB/T 17215.211 交流电测量设备 通用要求、试验和试验条件 第11 部分：测量设备</w:t>
      </w:r>
    </w:p>
    <w:p w:rsidR="00EC1293" w:rsidRDefault="00EC1293" w:rsidP="00EC1293">
      <w:pPr>
        <w:spacing w:line="360" w:lineRule="auto"/>
        <w:ind w:firstLineChars="200" w:firstLine="480"/>
        <w:rPr>
          <w:rFonts w:ascii="宋体" w:hAnsi="宋体" w:cs="宋体"/>
          <w:sz w:val="24"/>
        </w:rPr>
      </w:pPr>
      <w:r>
        <w:rPr>
          <w:rFonts w:ascii="宋体" w:hAnsi="宋体" w:cs="宋体" w:hint="eastAsia"/>
          <w:sz w:val="24"/>
        </w:rPr>
        <w:t>GB/T 22239-2019 信息安全技术 网络安全等级保护基本要求</w:t>
      </w:r>
    </w:p>
    <w:p w:rsidR="00C91617" w:rsidRDefault="00EC1293" w:rsidP="00EC1293">
      <w:pPr>
        <w:spacing w:line="420" w:lineRule="auto"/>
        <w:ind w:firstLineChars="200" w:firstLine="480"/>
        <w:rPr>
          <w:rFonts w:ascii="宋体" w:hAnsi="宋体" w:cs="宋体"/>
          <w:sz w:val="24"/>
        </w:rPr>
      </w:pPr>
      <w:r>
        <w:rPr>
          <w:rFonts w:ascii="宋体" w:hAnsi="宋体" w:cs="宋体" w:hint="eastAsia"/>
          <w:sz w:val="24"/>
        </w:rPr>
        <w:lastRenderedPageBreak/>
        <w:t>DL/T 1664-2016 电能计量装置现场检验规程</w:t>
      </w:r>
    </w:p>
    <w:p w:rsidR="00EC1293" w:rsidRPr="00EC1293" w:rsidRDefault="00EC1293" w:rsidP="00EC1293">
      <w:pPr>
        <w:pStyle w:val="a0"/>
      </w:pPr>
    </w:p>
    <w:p w:rsidR="00C91617" w:rsidRDefault="003C4F73">
      <w:pPr>
        <w:spacing w:line="420" w:lineRule="auto"/>
        <w:rPr>
          <w:rFonts w:ascii="黑体" w:eastAsia="黑体"/>
          <w:b/>
          <w:bCs/>
          <w:sz w:val="24"/>
        </w:rPr>
      </w:pPr>
      <w:r>
        <w:rPr>
          <w:rFonts w:ascii="黑体" w:eastAsia="黑体" w:hint="eastAsia"/>
          <w:b/>
          <w:bCs/>
          <w:sz w:val="24"/>
        </w:rPr>
        <w:t>四、规范编写过程和概况：</w:t>
      </w:r>
    </w:p>
    <w:p w:rsidR="00C91617" w:rsidRDefault="003C4F73">
      <w:pPr>
        <w:spacing w:line="420" w:lineRule="auto"/>
        <w:ind w:firstLineChars="200" w:firstLine="480"/>
        <w:rPr>
          <w:rFonts w:ascii="宋体" w:hAnsi="宋体" w:cs="宋体"/>
          <w:sz w:val="24"/>
        </w:rPr>
      </w:pPr>
      <w:r>
        <w:rPr>
          <w:rFonts w:ascii="宋体" w:hAnsi="宋体" w:cs="宋体" w:hint="eastAsia"/>
          <w:sz w:val="24"/>
        </w:rPr>
        <w:t>本规范由贵州省计量测试院负责制定，</w:t>
      </w:r>
      <w:r>
        <w:rPr>
          <w:rFonts w:hAnsi="宋体" w:hint="eastAsia"/>
          <w:sz w:val="24"/>
        </w:rPr>
        <w:t>贵州电网责任有限公司计量中心</w:t>
      </w:r>
      <w:r>
        <w:rPr>
          <w:rFonts w:ascii="宋体" w:hAnsi="宋体" w:cs="宋体" w:hint="eastAsia"/>
          <w:sz w:val="24"/>
        </w:rPr>
        <w:t>参与制定。</w:t>
      </w:r>
      <w:r>
        <w:rPr>
          <w:rFonts w:ascii="宋体" w:hAnsi="宋体" w:cs="宋体"/>
          <w:sz w:val="24"/>
        </w:rPr>
        <w:t>20</w:t>
      </w:r>
      <w:r w:rsidR="00EC1293">
        <w:rPr>
          <w:rFonts w:ascii="宋体" w:hAnsi="宋体" w:cs="宋体" w:hint="eastAsia"/>
          <w:sz w:val="24"/>
        </w:rPr>
        <w:t>22</w:t>
      </w:r>
      <w:r>
        <w:rPr>
          <w:rFonts w:ascii="宋体" w:hAnsi="宋体" w:cs="宋体" w:hint="eastAsia"/>
          <w:sz w:val="24"/>
        </w:rPr>
        <w:t>年本规范正式批准立项，贵州省计量测试院</w:t>
      </w:r>
      <w:r w:rsidR="00EC1293">
        <w:rPr>
          <w:rFonts w:ascii="宋体" w:hAnsi="宋体" w:cs="宋体" w:hint="eastAsia"/>
          <w:sz w:val="24"/>
        </w:rPr>
        <w:t>和</w:t>
      </w:r>
      <w:r w:rsidR="00EC1293">
        <w:rPr>
          <w:rFonts w:hAnsi="宋体" w:hint="eastAsia"/>
          <w:sz w:val="24"/>
        </w:rPr>
        <w:t>贵州电网责任有限公司计量中心</w:t>
      </w:r>
      <w:r>
        <w:rPr>
          <w:rFonts w:ascii="宋体" w:hAnsi="宋体" w:cs="宋体" w:hint="eastAsia"/>
          <w:sz w:val="24"/>
        </w:rPr>
        <w:t>承担本规范的主要起草任务，规范起草小组开始规范起草工作。本规范起草小组通过收集资料和技术调研，对校准项目、校准参数和校准方法进行技术分析论证，确定校准项目和技术参数，确定参考的校准方法。确定校准项目、校准参数和校准方法后，对校准方法进行试验验证，对校准参数的技术指标进行试验分析。然后根据计划和试验验证情况进行规范的正式编写。2023年2月形成初稿，经过小组讨论，并于2023年3月前往云南电网公司计量中心进行调研后，进行修改后形成讨论稿（第二稿）。2023年4-5月将讨论稿发给部分同行和厂家技术人员，听取大家的意见后再次进行修改调整，并按照1071-2010《国家计量校准规范编写规则》对本规范的格式进行排版，形成本规范的征求意见稿，征求同行及社会各界意见，最后将各方意见进行汇总形成意见汇总表，根据意见汇总表对征求意见</w:t>
      </w:r>
      <w:proofErr w:type="gramStart"/>
      <w:r>
        <w:rPr>
          <w:rFonts w:ascii="宋体" w:hAnsi="宋体" w:cs="宋体" w:hint="eastAsia"/>
          <w:sz w:val="24"/>
        </w:rPr>
        <w:t>稿再次</w:t>
      </w:r>
      <w:proofErr w:type="gramEnd"/>
      <w:r>
        <w:rPr>
          <w:rFonts w:ascii="宋体" w:hAnsi="宋体" w:cs="宋体" w:hint="eastAsia"/>
          <w:sz w:val="24"/>
        </w:rPr>
        <w:t>进行修改</w:t>
      </w:r>
      <w:r w:rsidR="00D74300">
        <w:rPr>
          <w:rFonts w:ascii="宋体" w:hAnsi="宋体" w:cs="宋体" w:hint="eastAsia"/>
          <w:sz w:val="24"/>
        </w:rPr>
        <w:t>，</w:t>
      </w:r>
      <w:r w:rsidR="00874B47">
        <w:rPr>
          <w:rFonts w:ascii="宋体" w:hAnsi="宋体" w:cs="宋体" w:hint="eastAsia"/>
          <w:sz w:val="24"/>
        </w:rPr>
        <w:t>再经考评考试评审后，</w:t>
      </w:r>
      <w:r w:rsidR="00D74300">
        <w:rPr>
          <w:rFonts w:ascii="宋体" w:hAnsi="宋体" w:cs="宋体" w:hint="eastAsia"/>
          <w:sz w:val="24"/>
        </w:rPr>
        <w:t>形成此</w:t>
      </w:r>
      <w:r w:rsidR="00874B47">
        <w:rPr>
          <w:rFonts w:ascii="宋体" w:hAnsi="宋体" w:cs="宋体" w:hint="eastAsia"/>
          <w:sz w:val="24"/>
        </w:rPr>
        <w:t>报批</w:t>
      </w:r>
      <w:r w:rsidR="00D74300">
        <w:rPr>
          <w:rFonts w:ascii="宋体" w:hAnsi="宋体" w:cs="宋体" w:hint="eastAsia"/>
          <w:sz w:val="24"/>
        </w:rPr>
        <w:t>稿</w:t>
      </w:r>
      <w:r>
        <w:rPr>
          <w:rFonts w:ascii="宋体" w:hAnsi="宋体" w:cs="宋体" w:hint="eastAsia"/>
          <w:sz w:val="24"/>
        </w:rPr>
        <w:t>。</w:t>
      </w:r>
      <w:r>
        <w:rPr>
          <w:rFonts w:ascii="宋体" w:hAnsi="宋体" w:cs="宋体"/>
          <w:sz w:val="24"/>
        </w:rPr>
        <w:t> </w:t>
      </w:r>
    </w:p>
    <w:p w:rsidR="00C91617" w:rsidRDefault="003C4F73">
      <w:pPr>
        <w:spacing w:line="420" w:lineRule="auto"/>
        <w:rPr>
          <w:rFonts w:ascii="黑体" w:eastAsia="黑体"/>
          <w:b/>
          <w:bCs/>
          <w:sz w:val="24"/>
        </w:rPr>
      </w:pPr>
      <w:r>
        <w:rPr>
          <w:rFonts w:ascii="黑体" w:eastAsia="黑体" w:hint="eastAsia"/>
          <w:b/>
          <w:bCs/>
          <w:sz w:val="24"/>
        </w:rPr>
        <w:t>六、规范编写的要点和说明：</w:t>
      </w:r>
    </w:p>
    <w:p w:rsidR="00C91617" w:rsidRDefault="003C4F73">
      <w:pPr>
        <w:spacing w:line="420" w:lineRule="auto"/>
        <w:ind w:firstLineChars="200" w:firstLine="480"/>
        <w:rPr>
          <w:rFonts w:ascii="宋体" w:hAnsi="宋体" w:cs="宋体"/>
          <w:sz w:val="24"/>
        </w:rPr>
      </w:pPr>
      <w:r>
        <w:rPr>
          <w:rFonts w:ascii="宋体" w:hAnsi="宋体" w:cs="宋体" w:hint="eastAsia"/>
          <w:sz w:val="24"/>
        </w:rPr>
        <w:t>1、范围</w:t>
      </w:r>
    </w:p>
    <w:p w:rsidR="00C91617" w:rsidRDefault="003C4F73">
      <w:pPr>
        <w:spacing w:line="420" w:lineRule="auto"/>
        <w:ind w:firstLineChars="200" w:firstLine="480"/>
        <w:rPr>
          <w:rFonts w:ascii="宋体" w:hAnsi="宋体" w:cs="宋体"/>
          <w:sz w:val="24"/>
        </w:rPr>
      </w:pPr>
      <w:r>
        <w:rPr>
          <w:rFonts w:ascii="宋体" w:hAnsi="宋体" w:cs="宋体" w:hint="eastAsia"/>
          <w:sz w:val="24"/>
        </w:rPr>
        <w:t>2、引用文</w:t>
      </w:r>
      <w:r w:rsidR="00D74300" w:rsidRPr="00D74300">
        <w:rPr>
          <w:rFonts w:ascii="宋体" w:hAnsi="宋体" w:cs="宋体" w:hint="eastAsia"/>
          <w:sz w:val="24"/>
        </w:rPr>
        <w:t>件</w:t>
      </w:r>
    </w:p>
    <w:p w:rsidR="00C91617" w:rsidRDefault="003C4F73">
      <w:pPr>
        <w:spacing w:line="420" w:lineRule="auto"/>
        <w:ind w:firstLineChars="200" w:firstLine="480"/>
        <w:rPr>
          <w:rFonts w:ascii="宋体" w:hAnsi="宋体" w:cs="宋体"/>
          <w:sz w:val="24"/>
        </w:rPr>
      </w:pPr>
      <w:r>
        <w:rPr>
          <w:rFonts w:ascii="宋体" w:hAnsi="宋体" w:cs="宋体" w:hint="eastAsia"/>
          <w:sz w:val="24"/>
        </w:rPr>
        <w:t>3、术语</w:t>
      </w:r>
    </w:p>
    <w:p w:rsidR="00C91617" w:rsidRDefault="003C4F73">
      <w:pPr>
        <w:spacing w:line="420" w:lineRule="auto"/>
        <w:ind w:firstLineChars="200" w:firstLine="480"/>
        <w:rPr>
          <w:rFonts w:ascii="宋体" w:hAnsi="宋体" w:cs="宋体"/>
          <w:sz w:val="24"/>
        </w:rPr>
      </w:pPr>
      <w:r>
        <w:rPr>
          <w:rFonts w:ascii="宋体" w:hAnsi="宋体" w:cs="宋体" w:hint="eastAsia"/>
          <w:sz w:val="24"/>
        </w:rPr>
        <w:t>4、概述</w:t>
      </w:r>
    </w:p>
    <w:p w:rsidR="00C91617" w:rsidRDefault="003C4F73">
      <w:pPr>
        <w:spacing w:line="420" w:lineRule="auto"/>
        <w:ind w:firstLineChars="200" w:firstLine="480"/>
        <w:rPr>
          <w:rFonts w:ascii="宋体" w:hAnsi="宋体" w:cs="宋体"/>
          <w:sz w:val="24"/>
        </w:rPr>
      </w:pPr>
      <w:r>
        <w:rPr>
          <w:rFonts w:ascii="宋体" w:hAnsi="宋体" w:cs="宋体" w:hint="eastAsia"/>
          <w:sz w:val="24"/>
        </w:rPr>
        <w:t>5、计量特性</w:t>
      </w:r>
    </w:p>
    <w:p w:rsidR="00C91617" w:rsidRDefault="003C4F73">
      <w:pPr>
        <w:spacing w:line="420" w:lineRule="auto"/>
        <w:ind w:firstLineChars="200" w:firstLine="480"/>
        <w:rPr>
          <w:rFonts w:ascii="宋体" w:hAnsi="宋体" w:cs="宋体"/>
          <w:sz w:val="24"/>
        </w:rPr>
      </w:pPr>
      <w:r>
        <w:rPr>
          <w:rFonts w:ascii="宋体" w:hAnsi="宋体" w:cs="宋体" w:hint="eastAsia"/>
          <w:sz w:val="24"/>
        </w:rPr>
        <w:t>6、校准条件</w:t>
      </w:r>
    </w:p>
    <w:p w:rsidR="00C91617" w:rsidRDefault="003C4F73">
      <w:pPr>
        <w:spacing w:line="420" w:lineRule="auto"/>
        <w:ind w:firstLineChars="200" w:firstLine="480"/>
        <w:rPr>
          <w:rFonts w:ascii="宋体" w:hAnsi="宋体" w:cs="宋体"/>
          <w:sz w:val="24"/>
        </w:rPr>
      </w:pPr>
      <w:r>
        <w:rPr>
          <w:rFonts w:ascii="宋体" w:hAnsi="宋体" w:cs="宋体" w:hint="eastAsia"/>
          <w:sz w:val="24"/>
        </w:rPr>
        <w:t>7、校准项目和校准方法</w:t>
      </w:r>
    </w:p>
    <w:p w:rsidR="00C91617" w:rsidRDefault="003C4F73">
      <w:pPr>
        <w:spacing w:line="420" w:lineRule="auto"/>
        <w:ind w:firstLineChars="200" w:firstLine="480"/>
        <w:rPr>
          <w:rFonts w:ascii="宋体" w:hAnsi="宋体" w:cs="宋体"/>
          <w:sz w:val="24"/>
        </w:rPr>
      </w:pPr>
      <w:r>
        <w:rPr>
          <w:rFonts w:ascii="宋体" w:hAnsi="宋体" w:cs="宋体" w:hint="eastAsia"/>
          <w:sz w:val="24"/>
        </w:rPr>
        <w:t>8、校准结果</w:t>
      </w:r>
    </w:p>
    <w:p w:rsidR="00C91617" w:rsidRDefault="003C4F73">
      <w:pPr>
        <w:spacing w:line="420" w:lineRule="auto"/>
        <w:ind w:firstLineChars="200" w:firstLine="480"/>
        <w:rPr>
          <w:rFonts w:ascii="宋体" w:hAnsi="宋体" w:cs="宋体"/>
          <w:sz w:val="24"/>
        </w:rPr>
      </w:pPr>
      <w:r>
        <w:rPr>
          <w:rFonts w:ascii="宋体" w:hAnsi="宋体" w:cs="宋体" w:hint="eastAsia"/>
          <w:sz w:val="24"/>
        </w:rPr>
        <w:t>9、电能表状态更换工作</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lastRenderedPageBreak/>
        <w:t>附录A</w:t>
      </w:r>
      <w:r w:rsidR="002D3537">
        <w:rPr>
          <w:rFonts w:hAnsi="宋体" w:cs="宋体" w:hint="eastAsia"/>
          <w:kern w:val="2"/>
          <w:szCs w:val="24"/>
        </w:rPr>
        <w:t xml:space="preserve">  </w:t>
      </w:r>
      <w:r>
        <w:rPr>
          <w:rFonts w:hAnsi="宋体" w:cs="宋体" w:hint="eastAsia"/>
          <w:kern w:val="2"/>
          <w:szCs w:val="24"/>
        </w:rPr>
        <w:t>校准证书格式</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附录B  校准结果不确定度评定示例</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附录C  电能</w:t>
      </w:r>
      <w:proofErr w:type="gramStart"/>
      <w:r>
        <w:rPr>
          <w:rFonts w:hAnsi="宋体" w:cs="宋体" w:hint="eastAsia"/>
          <w:kern w:val="2"/>
          <w:szCs w:val="24"/>
        </w:rPr>
        <w:t>表批与</w:t>
      </w:r>
      <w:proofErr w:type="gramEnd"/>
      <w:r>
        <w:rPr>
          <w:rFonts w:hAnsi="宋体" w:cs="宋体" w:hint="eastAsia"/>
          <w:kern w:val="2"/>
          <w:szCs w:val="24"/>
        </w:rPr>
        <w:t>抽样规则</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附录D</w:t>
      </w:r>
      <w:r w:rsidR="002D3537">
        <w:rPr>
          <w:rFonts w:hAnsi="宋体" w:cs="宋体" w:hint="eastAsia"/>
          <w:kern w:val="2"/>
          <w:szCs w:val="24"/>
        </w:rPr>
        <w:t xml:space="preserve">  </w:t>
      </w:r>
      <w:proofErr w:type="gramStart"/>
      <w:r w:rsidR="00EC1293" w:rsidRPr="00EC1293">
        <w:rPr>
          <w:rFonts w:hAnsi="宋体" w:cs="宋体" w:hint="eastAsia"/>
          <w:kern w:val="2"/>
          <w:szCs w:val="24"/>
        </w:rPr>
        <w:t>电能表批确认</w:t>
      </w:r>
      <w:proofErr w:type="gramEnd"/>
      <w:r w:rsidR="00EC1293" w:rsidRPr="00EC1293">
        <w:rPr>
          <w:rFonts w:hAnsi="宋体" w:cs="宋体" w:hint="eastAsia"/>
          <w:kern w:val="2"/>
          <w:szCs w:val="24"/>
        </w:rPr>
        <w:t>与信息表格式</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 xml:space="preserve">附录E </w:t>
      </w:r>
      <w:r w:rsidR="002D3537">
        <w:rPr>
          <w:rFonts w:hAnsi="宋体" w:cs="宋体" w:hint="eastAsia"/>
          <w:kern w:val="2"/>
          <w:szCs w:val="24"/>
        </w:rPr>
        <w:t xml:space="preserve"> </w:t>
      </w:r>
      <w:proofErr w:type="gramStart"/>
      <w:r>
        <w:rPr>
          <w:rFonts w:hAnsi="宋体" w:cs="宋体" w:hint="eastAsia"/>
          <w:kern w:val="2"/>
          <w:szCs w:val="24"/>
        </w:rPr>
        <w:t>电能表批评价报告</w:t>
      </w:r>
      <w:proofErr w:type="gramEnd"/>
      <w:r>
        <w:rPr>
          <w:rFonts w:hAnsi="宋体" w:cs="宋体" w:hint="eastAsia"/>
          <w:kern w:val="2"/>
          <w:szCs w:val="24"/>
        </w:rPr>
        <w:t>格式</w:t>
      </w:r>
    </w:p>
    <w:p w:rsidR="00C91617" w:rsidRDefault="003C4F73">
      <w:pPr>
        <w:pStyle w:val="10"/>
        <w:autoSpaceDE w:val="0"/>
        <w:autoSpaceDN w:val="0"/>
        <w:spacing w:line="420" w:lineRule="auto"/>
        <w:ind w:firstLineChars="200" w:firstLine="480"/>
        <w:textAlignment w:val="bottom"/>
        <w:outlineLvl w:val="0"/>
      </w:pPr>
      <w:r>
        <w:rPr>
          <w:rFonts w:hAnsi="宋体" w:cs="宋体" w:hint="eastAsia"/>
          <w:kern w:val="2"/>
          <w:szCs w:val="24"/>
        </w:rPr>
        <w:t xml:space="preserve">附录F </w:t>
      </w:r>
      <w:r w:rsidR="002D3537">
        <w:rPr>
          <w:rFonts w:hAnsi="宋体" w:cs="宋体" w:hint="eastAsia"/>
          <w:kern w:val="2"/>
          <w:szCs w:val="24"/>
        </w:rPr>
        <w:t xml:space="preserve"> </w:t>
      </w:r>
      <w:r>
        <w:rPr>
          <w:rFonts w:hAnsi="宋体" w:cs="宋体" w:hint="eastAsia"/>
          <w:kern w:val="2"/>
          <w:szCs w:val="24"/>
        </w:rPr>
        <w:t>电能表延期使用申请确认表</w:t>
      </w:r>
      <w:r w:rsidR="00EC1293">
        <w:rPr>
          <w:rFonts w:hAnsi="宋体" w:cs="宋体" w:hint="eastAsia"/>
          <w:kern w:val="2"/>
          <w:szCs w:val="24"/>
        </w:rPr>
        <w:t>格式</w:t>
      </w:r>
    </w:p>
    <w:p w:rsidR="00C91617" w:rsidRDefault="003C4F73">
      <w:pPr>
        <w:spacing w:line="420" w:lineRule="auto"/>
        <w:ind w:rightChars="30" w:right="63"/>
        <w:rPr>
          <w:rFonts w:ascii="黑体" w:eastAsia="黑体"/>
          <w:sz w:val="24"/>
        </w:rPr>
      </w:pPr>
      <w:r>
        <w:rPr>
          <w:rFonts w:ascii="黑体" w:eastAsia="黑体" w:hint="eastAsia"/>
          <w:b/>
          <w:bCs/>
          <w:sz w:val="24"/>
        </w:rPr>
        <w:t>七、结束语：</w:t>
      </w:r>
    </w:p>
    <w:p w:rsidR="00C91617" w:rsidRDefault="003C4F73">
      <w:pPr>
        <w:spacing w:line="420" w:lineRule="auto"/>
        <w:ind w:firstLineChars="200" w:firstLine="480"/>
        <w:rPr>
          <w:rFonts w:ascii="宋体" w:hAnsi="宋体" w:cs="宋体"/>
          <w:sz w:val="24"/>
        </w:rPr>
      </w:pPr>
      <w:r>
        <w:rPr>
          <w:rFonts w:hAnsi="宋体" w:hint="eastAsia"/>
          <w:sz w:val="24"/>
        </w:rPr>
        <w:t>根据贵州省地方计量检定规程、校准规范项目计划任务书（</w:t>
      </w:r>
      <w:r w:rsidR="00F92FC5" w:rsidRPr="00F92FC5">
        <w:rPr>
          <w:rFonts w:hAnsi="宋体" w:hint="eastAsia"/>
          <w:sz w:val="24"/>
        </w:rPr>
        <w:t>运行中电子式电能表计量性能在线监测校准规范</w:t>
      </w:r>
      <w:r>
        <w:rPr>
          <w:rFonts w:hAnsi="宋体" w:hint="eastAsia"/>
          <w:sz w:val="24"/>
        </w:rPr>
        <w:t>）的编写进度计划，本规范起草小组已编写好《</w:t>
      </w:r>
      <w:r w:rsidR="00F92FC5" w:rsidRPr="00F92FC5">
        <w:rPr>
          <w:rFonts w:hAnsi="宋体" w:hint="eastAsia"/>
          <w:sz w:val="24"/>
        </w:rPr>
        <w:t>运行中电子式电能表计量性能在线监测校准规范</w:t>
      </w:r>
      <w:r w:rsidR="00D74300">
        <w:rPr>
          <w:rFonts w:hAnsi="宋体" w:hint="eastAsia"/>
          <w:sz w:val="24"/>
        </w:rPr>
        <w:t>（</w:t>
      </w:r>
      <w:r w:rsidR="00874B47">
        <w:rPr>
          <w:rFonts w:hAnsi="宋体" w:hint="eastAsia"/>
          <w:sz w:val="24"/>
        </w:rPr>
        <w:t>报批</w:t>
      </w:r>
      <w:r w:rsidR="00D74300">
        <w:rPr>
          <w:rFonts w:hAnsi="宋体" w:hint="eastAsia"/>
          <w:sz w:val="24"/>
        </w:rPr>
        <w:t>稿）</w:t>
      </w:r>
      <w:r>
        <w:rPr>
          <w:rFonts w:hAnsi="宋体" w:hint="eastAsia"/>
          <w:sz w:val="24"/>
        </w:rPr>
        <w:t>》。现将《</w:t>
      </w:r>
      <w:r w:rsidR="00F92FC5" w:rsidRPr="00D74300">
        <w:rPr>
          <w:rFonts w:hAnsi="宋体" w:hint="eastAsia"/>
          <w:sz w:val="24"/>
        </w:rPr>
        <w:t>运行中</w:t>
      </w:r>
      <w:r w:rsidR="00F92FC5" w:rsidRPr="00F92FC5">
        <w:rPr>
          <w:rFonts w:ascii="宋体" w:hAnsi="宋体" w:cs="宋体" w:hint="eastAsia"/>
          <w:sz w:val="24"/>
        </w:rPr>
        <w:t>电子式电能表计量性能在线监测校准规范</w:t>
      </w:r>
      <w:r w:rsidR="00D74300">
        <w:rPr>
          <w:rFonts w:hAnsi="宋体" w:hint="eastAsia"/>
          <w:sz w:val="24"/>
        </w:rPr>
        <w:t>（</w:t>
      </w:r>
      <w:r w:rsidR="00874B47">
        <w:rPr>
          <w:rFonts w:hAnsi="宋体" w:hint="eastAsia"/>
          <w:sz w:val="24"/>
        </w:rPr>
        <w:t>报批</w:t>
      </w:r>
      <w:r w:rsidR="00D74300">
        <w:rPr>
          <w:rFonts w:hAnsi="宋体" w:hint="eastAsia"/>
          <w:sz w:val="24"/>
        </w:rPr>
        <w:t>稿）</w:t>
      </w:r>
      <w:r>
        <w:rPr>
          <w:rFonts w:hAnsi="宋体" w:hint="eastAsia"/>
          <w:sz w:val="24"/>
        </w:rPr>
        <w:t>》呈送给您们，</w:t>
      </w:r>
      <w:bookmarkStart w:id="0" w:name="_GoBack"/>
      <w:bookmarkEnd w:id="0"/>
      <w:r>
        <w:rPr>
          <w:rFonts w:hAnsi="宋体" w:hint="eastAsia"/>
          <w:sz w:val="24"/>
        </w:rPr>
        <w:t>请各位领导、专家审批。</w:t>
      </w:r>
    </w:p>
    <w:p w:rsidR="00C91617" w:rsidRDefault="003C4F73">
      <w:pPr>
        <w:spacing w:line="420" w:lineRule="auto"/>
        <w:ind w:firstLineChars="200" w:firstLine="480"/>
        <w:rPr>
          <w:rFonts w:ascii="宋体" w:hAnsi="宋体" w:cs="宋体"/>
          <w:sz w:val="24"/>
        </w:rPr>
      </w:pPr>
      <w:r>
        <w:rPr>
          <w:rFonts w:ascii="宋体" w:hAnsi="宋体" w:cs="宋体" w:hint="eastAsia"/>
          <w:sz w:val="24"/>
        </w:rPr>
        <w:t>谢谢！</w:t>
      </w:r>
    </w:p>
    <w:p w:rsidR="00C91617" w:rsidRDefault="003C4F73">
      <w:pPr>
        <w:spacing w:line="420" w:lineRule="auto"/>
        <w:ind w:firstLineChars="200" w:firstLine="480"/>
        <w:jc w:val="right"/>
        <w:rPr>
          <w:rFonts w:ascii="宋体" w:hAnsi="宋体" w:cs="宋体"/>
          <w:sz w:val="24"/>
        </w:rPr>
      </w:pPr>
      <w:r>
        <w:rPr>
          <w:rFonts w:ascii="宋体" w:hAnsi="宋体" w:cs="宋体" w:hint="eastAsia"/>
          <w:sz w:val="24"/>
        </w:rPr>
        <w:t>校准规范起草小组</w:t>
      </w:r>
    </w:p>
    <w:p w:rsidR="00C91617" w:rsidRDefault="003C4F73">
      <w:pPr>
        <w:spacing w:line="420" w:lineRule="auto"/>
        <w:ind w:firstLineChars="200" w:firstLine="480"/>
        <w:jc w:val="right"/>
        <w:rPr>
          <w:rFonts w:ascii="宋体" w:hAnsi="宋体" w:cs="宋体"/>
          <w:sz w:val="24"/>
        </w:rPr>
      </w:pPr>
      <w:r>
        <w:rPr>
          <w:rFonts w:ascii="宋体" w:hAnsi="宋体" w:cs="宋体" w:hint="eastAsia"/>
          <w:sz w:val="24"/>
        </w:rPr>
        <w:t>2023年</w:t>
      </w:r>
      <w:r w:rsidR="00D74300">
        <w:rPr>
          <w:rFonts w:ascii="宋体" w:hAnsi="宋体" w:cs="宋体" w:hint="eastAsia"/>
          <w:sz w:val="24"/>
        </w:rPr>
        <w:t>7</w:t>
      </w:r>
      <w:r>
        <w:rPr>
          <w:rFonts w:ascii="宋体" w:hAnsi="宋体" w:cs="宋体" w:hint="eastAsia"/>
          <w:sz w:val="24"/>
        </w:rPr>
        <w:t>月</w:t>
      </w:r>
      <w:r w:rsidR="00874B47">
        <w:rPr>
          <w:rFonts w:ascii="宋体" w:hAnsi="宋体" w:cs="宋体" w:hint="eastAsia"/>
          <w:sz w:val="24"/>
        </w:rPr>
        <w:t>23</w:t>
      </w:r>
      <w:r>
        <w:rPr>
          <w:rFonts w:ascii="宋体" w:hAnsi="宋体" w:cs="宋体" w:hint="eastAsia"/>
          <w:sz w:val="24"/>
        </w:rPr>
        <w:t>日</w:t>
      </w:r>
    </w:p>
    <w:p w:rsidR="00C91617" w:rsidRDefault="00C91617">
      <w:pPr>
        <w:spacing w:line="500" w:lineRule="exact"/>
        <w:ind w:rightChars="30" w:right="63"/>
        <w:rPr>
          <w:rFonts w:ascii="黑体" w:eastAsia="黑体"/>
          <w:sz w:val="24"/>
        </w:rPr>
      </w:pPr>
    </w:p>
    <w:sectPr w:rsidR="00C91617">
      <w:headerReference w:type="default" r:id="rId8"/>
      <w:footerReference w:type="even" r:id="rId9"/>
      <w:footerReference w:type="default" r:id="rId10"/>
      <w:pgSz w:w="11906" w:h="16838"/>
      <w:pgMar w:top="1440" w:right="1797" w:bottom="39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B" w:rsidRDefault="00041FBB">
      <w:r>
        <w:separator/>
      </w:r>
    </w:p>
  </w:endnote>
  <w:endnote w:type="continuationSeparator" w:id="0">
    <w:p w:rsidR="00041FBB" w:rsidRDefault="0004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17" w:rsidRDefault="003C4F73">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91617" w:rsidRDefault="00C916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17" w:rsidRDefault="003C4F73">
    <w:pPr>
      <w:pStyle w:val="a6"/>
      <w:ind w:right="360"/>
    </w:pPr>
    <w:r>
      <w:rPr>
        <w:noProof/>
      </w:rPr>
      <mc:AlternateContent>
        <mc:Choice Requires="wps">
          <w:drawing>
            <wp:anchor distT="0" distB="0" distL="114300" distR="114300" simplePos="0" relativeHeight="251659264" behindDoc="0" locked="0" layoutInCell="1" allowOverlap="1" wp14:anchorId="0D626D7C" wp14:editId="140ED75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91617" w:rsidRDefault="003C4F73">
                          <w:pPr>
                            <w:pStyle w:val="a6"/>
                            <w:rPr>
                              <w:rStyle w:val="a9"/>
                            </w:rPr>
                          </w:pPr>
                          <w:r>
                            <w:rPr>
                              <w:rStyle w:val="a9"/>
                            </w:rPr>
                            <w:fldChar w:fldCharType="begin"/>
                          </w:r>
                          <w:r>
                            <w:rPr>
                              <w:rStyle w:val="a9"/>
                            </w:rPr>
                            <w:instrText xml:space="preserve">PAGE  </w:instrText>
                          </w:r>
                          <w:r>
                            <w:rPr>
                              <w:rStyle w:val="a9"/>
                            </w:rPr>
                            <w:fldChar w:fldCharType="separate"/>
                          </w:r>
                          <w:r w:rsidR="00874B47">
                            <w:rPr>
                              <w:rStyle w:val="a9"/>
                              <w:noProof/>
                            </w:rPr>
                            <w:t>1</w:t>
                          </w:r>
                          <w:r>
                            <w:rPr>
                              <w:rStyle w:val="a9"/>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C91617" w:rsidRDefault="003C4F73">
                    <w:pPr>
                      <w:pStyle w:val="a6"/>
                      <w:rPr>
                        <w:rStyle w:val="a9"/>
                      </w:rPr>
                    </w:pPr>
                    <w:r>
                      <w:rPr>
                        <w:rStyle w:val="a9"/>
                      </w:rPr>
                      <w:fldChar w:fldCharType="begin"/>
                    </w:r>
                    <w:r>
                      <w:rPr>
                        <w:rStyle w:val="a9"/>
                      </w:rPr>
                      <w:instrText xml:space="preserve">PAGE  </w:instrText>
                    </w:r>
                    <w:r>
                      <w:rPr>
                        <w:rStyle w:val="a9"/>
                      </w:rPr>
                      <w:fldChar w:fldCharType="separate"/>
                    </w:r>
                    <w:r w:rsidR="00874B47">
                      <w:rPr>
                        <w:rStyle w:val="a9"/>
                        <w:noProof/>
                      </w:rPr>
                      <w:t>1</w:t>
                    </w:r>
                    <w:r>
                      <w:rPr>
                        <w:rStyle w:val="a9"/>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B" w:rsidRDefault="00041FBB">
      <w:r>
        <w:separator/>
      </w:r>
    </w:p>
  </w:footnote>
  <w:footnote w:type="continuationSeparator" w:id="0">
    <w:p w:rsidR="00041FBB" w:rsidRDefault="0004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17" w:rsidRDefault="003C4F73">
    <w:pPr>
      <w:pStyle w:val="a7"/>
      <w:rPr>
        <w:sz w:val="21"/>
        <w:szCs w:val="21"/>
      </w:rPr>
    </w:pPr>
    <w:r>
      <w:rPr>
        <w:rFonts w:hint="eastAsia"/>
        <w:sz w:val="21"/>
        <w:szCs w:val="21"/>
      </w:rPr>
      <w:t>JJF</w:t>
    </w:r>
    <w:r>
      <w:rPr>
        <w:rFonts w:hint="eastAsia"/>
        <w:sz w:val="21"/>
        <w:szCs w:val="21"/>
      </w:rPr>
      <w:t>（黔）</w:t>
    </w:r>
    <w:r>
      <w:rPr>
        <w:rFonts w:hint="eastAsia"/>
        <w:sz w:val="21"/>
        <w:szCs w:val="21"/>
      </w:rPr>
      <w:t>XX</w:t>
    </w:r>
    <w:r>
      <w:rPr>
        <w:rFonts w:hint="eastAsia"/>
        <w:sz w:val="21"/>
        <w:szCs w:val="21"/>
      </w:rPr>
      <w:t>－</w:t>
    </w:r>
    <w:r>
      <w:rPr>
        <w:rFonts w:hint="eastAsia"/>
        <w:sz w:val="21"/>
        <w:szCs w:val="21"/>
      </w:rPr>
      <w:t>2023</w:t>
    </w:r>
    <w:r>
      <w:rPr>
        <w:rFonts w:hint="eastAsia"/>
        <w:sz w:val="21"/>
        <w:szCs w:val="21"/>
      </w:rPr>
      <w:t>《</w:t>
    </w:r>
    <w:r w:rsidR="00F92FC5" w:rsidRPr="00F92FC5">
      <w:rPr>
        <w:rFonts w:hint="eastAsia"/>
        <w:sz w:val="21"/>
        <w:szCs w:val="21"/>
      </w:rPr>
      <w:t>运行中电子式电能表计量性能在线监测校准规范</w:t>
    </w:r>
    <w:r>
      <w:rPr>
        <w:rFonts w:hint="eastAsia"/>
        <w:sz w:val="21"/>
        <w:szCs w:val="21"/>
      </w:rPr>
      <w:t>》编制说明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jNhZjFjZjhkYTMzYWE2ZmZiNjEyNTQzNmE0ZWUifQ=="/>
  </w:docVars>
  <w:rsids>
    <w:rsidRoot w:val="00C91617"/>
    <w:rsid w:val="00041FBB"/>
    <w:rsid w:val="0015387D"/>
    <w:rsid w:val="002D3537"/>
    <w:rsid w:val="00337C5C"/>
    <w:rsid w:val="003C4F73"/>
    <w:rsid w:val="00874B47"/>
    <w:rsid w:val="008B1A81"/>
    <w:rsid w:val="009F5346"/>
    <w:rsid w:val="00BB63D1"/>
    <w:rsid w:val="00BF6487"/>
    <w:rsid w:val="00C91617"/>
    <w:rsid w:val="00CA03E2"/>
    <w:rsid w:val="00D74300"/>
    <w:rsid w:val="00EC1293"/>
    <w:rsid w:val="00F92FC5"/>
    <w:rsid w:val="52923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page number" w:semiHidden="0" w:uiPriority="0" w:unhideWhenUsed="0" w:qFormat="1"/>
    <w:lsdException w:name="table of authorities" w:semiHidden="0" w:uiPriority="0" w:unhideWhenUsed="0" w:qFormat="1"/>
    <w:lsdException w:name="Default Paragraph Font" w:semiHidden="0" w:uiPriority="1" w:qFormat="1"/>
    <w:lsdException w:name="Hyperlink"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annotation text"/>
    <w:basedOn w:val="a"/>
    <w:uiPriority w:val="99"/>
    <w:unhideWhenUsed/>
    <w:qFormat/>
    <w:pPr>
      <w:jc w:val="left"/>
    </w:p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page number"/>
    <w:basedOn w:val="a1"/>
    <w:qFormat/>
  </w:style>
  <w:style w:type="character" w:styleId="aa">
    <w:name w:val="Hyperlink"/>
    <w:basedOn w:val="a1"/>
    <w:qFormat/>
    <w:rPr>
      <w:color w:val="0000FF"/>
      <w:u w:val="single"/>
    </w:rPr>
  </w:style>
  <w:style w:type="character" w:customStyle="1" w:styleId="Char1">
    <w:name w:val="页眉 Char"/>
    <w:basedOn w:val="a1"/>
    <w:link w:val="a7"/>
    <w:qFormat/>
    <w:rPr>
      <w:kern w:val="2"/>
      <w:sz w:val="18"/>
      <w:szCs w:val="18"/>
    </w:rPr>
  </w:style>
  <w:style w:type="character" w:customStyle="1" w:styleId="Char0">
    <w:name w:val="页脚 Char"/>
    <w:basedOn w:val="a1"/>
    <w:link w:val="a6"/>
    <w:qFormat/>
    <w:rPr>
      <w:kern w:val="2"/>
      <w:sz w:val="18"/>
      <w:szCs w:val="18"/>
    </w:rPr>
  </w:style>
  <w:style w:type="paragraph" w:customStyle="1" w:styleId="ab">
    <w:name w:val="段"/>
    <w:uiPriority w:val="99"/>
    <w:qFormat/>
    <w:pPr>
      <w:autoSpaceDE w:val="0"/>
      <w:autoSpaceDN w:val="0"/>
      <w:ind w:firstLineChars="200" w:firstLine="200"/>
      <w:jc w:val="both"/>
    </w:pPr>
    <w:rPr>
      <w:rFonts w:ascii="宋体"/>
      <w:sz w:val="21"/>
    </w:rPr>
  </w:style>
  <w:style w:type="paragraph" w:customStyle="1" w:styleId="10">
    <w:name w:val="正文1"/>
    <w:qFormat/>
    <w:pPr>
      <w:widowControl w:val="0"/>
      <w:adjustRightInd w:val="0"/>
      <w:spacing w:line="360" w:lineRule="atLeast"/>
      <w:textAlignment w:val="baseline"/>
    </w:pPr>
    <w:rPr>
      <w:rFonts w:ascii="宋体"/>
      <w:sz w:val="24"/>
    </w:rPr>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page number" w:semiHidden="0" w:uiPriority="0" w:unhideWhenUsed="0" w:qFormat="1"/>
    <w:lsdException w:name="table of authorities" w:semiHidden="0" w:uiPriority="0" w:unhideWhenUsed="0" w:qFormat="1"/>
    <w:lsdException w:name="Default Paragraph Font" w:semiHidden="0" w:uiPriority="1" w:qFormat="1"/>
    <w:lsdException w:name="Hyperlink"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annotation text"/>
    <w:basedOn w:val="a"/>
    <w:uiPriority w:val="99"/>
    <w:unhideWhenUsed/>
    <w:qFormat/>
    <w:pPr>
      <w:jc w:val="left"/>
    </w:p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page number"/>
    <w:basedOn w:val="a1"/>
    <w:qFormat/>
  </w:style>
  <w:style w:type="character" w:styleId="aa">
    <w:name w:val="Hyperlink"/>
    <w:basedOn w:val="a1"/>
    <w:qFormat/>
    <w:rPr>
      <w:color w:val="0000FF"/>
      <w:u w:val="single"/>
    </w:rPr>
  </w:style>
  <w:style w:type="character" w:customStyle="1" w:styleId="Char1">
    <w:name w:val="页眉 Char"/>
    <w:basedOn w:val="a1"/>
    <w:link w:val="a7"/>
    <w:qFormat/>
    <w:rPr>
      <w:kern w:val="2"/>
      <w:sz w:val="18"/>
      <w:szCs w:val="18"/>
    </w:rPr>
  </w:style>
  <w:style w:type="character" w:customStyle="1" w:styleId="Char0">
    <w:name w:val="页脚 Char"/>
    <w:basedOn w:val="a1"/>
    <w:link w:val="a6"/>
    <w:qFormat/>
    <w:rPr>
      <w:kern w:val="2"/>
      <w:sz w:val="18"/>
      <w:szCs w:val="18"/>
    </w:rPr>
  </w:style>
  <w:style w:type="paragraph" w:customStyle="1" w:styleId="ab">
    <w:name w:val="段"/>
    <w:uiPriority w:val="99"/>
    <w:qFormat/>
    <w:pPr>
      <w:autoSpaceDE w:val="0"/>
      <w:autoSpaceDN w:val="0"/>
      <w:ind w:firstLineChars="200" w:firstLine="200"/>
      <w:jc w:val="both"/>
    </w:pPr>
    <w:rPr>
      <w:rFonts w:ascii="宋体"/>
      <w:sz w:val="21"/>
    </w:rPr>
  </w:style>
  <w:style w:type="paragraph" w:customStyle="1" w:styleId="10">
    <w:name w:val="正文1"/>
    <w:qFormat/>
    <w:pPr>
      <w:widowControl w:val="0"/>
      <w:adjustRightInd w:val="0"/>
      <w:spacing w:line="360" w:lineRule="atLeast"/>
      <w:textAlignment w:val="baseline"/>
    </w:pPr>
    <w:rPr>
      <w:rFonts w:ascii="宋体"/>
      <w:sz w:val="24"/>
    </w:rPr>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1409</Words>
  <Characters>207</Characters>
  <Application>Microsoft Office Word</Application>
  <DocSecurity>0</DocSecurity>
  <Lines>1</Lines>
  <Paragraphs>3</Paragraphs>
  <ScaleCrop>false</ScaleCrop>
  <Company>WWW.YlmF.CoM</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编写说明</dc:title>
  <dc:creator>雨林木风</dc:creator>
  <cp:lastModifiedBy>Windows User</cp:lastModifiedBy>
  <cp:revision>99</cp:revision>
  <cp:lastPrinted>2020-09-08T16:46:00Z</cp:lastPrinted>
  <dcterms:created xsi:type="dcterms:W3CDTF">2022-10-24T11:55:00Z</dcterms:created>
  <dcterms:modified xsi:type="dcterms:W3CDTF">2023-07-26T06:54:00Z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vt:lpwstr>6</vt:lpwstr>
  </property>
  <property fmtid="{D5CDD505-2E9C-101B-9397-08002B2CF9AE}" pid="4" name="ICV">
    <vt:lpwstr>CE4DCCFE2D42E39D0A3F576410165F07_33</vt:lpwstr>
  </property>
</Properties>
</file>