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2"/>
          <w:szCs w:val="32"/>
        </w:rPr>
      </w:pPr>
    </w:p>
    <w:p>
      <w:pPr>
        <w:spacing w:line="360" w:lineRule="auto"/>
        <w:jc w:val="center"/>
        <w:rPr>
          <w:rFonts w:hint="eastAsia" w:ascii="宋体" w:hAnsi="宋体"/>
          <w:b/>
          <w:sz w:val="52"/>
          <w:szCs w:val="52"/>
        </w:rPr>
      </w:pPr>
      <w:r>
        <w:rPr>
          <w:rFonts w:hint="eastAsia" w:ascii="宋体" w:hAnsi="宋体"/>
          <w:b/>
          <w:sz w:val="52"/>
          <w:szCs w:val="52"/>
          <w:lang w:eastAsia="zh-CN"/>
        </w:rPr>
        <w:t>低频电场测量仪</w:t>
      </w:r>
      <w:r>
        <w:rPr>
          <w:rFonts w:hint="eastAsia" w:ascii="宋体" w:hAnsi="宋体"/>
          <w:b/>
          <w:sz w:val="52"/>
          <w:szCs w:val="52"/>
        </w:rPr>
        <w:t>校准规范</w:t>
      </w:r>
    </w:p>
    <w:p>
      <w:pPr>
        <w:spacing w:line="360" w:lineRule="auto"/>
        <w:jc w:val="center"/>
        <w:rPr>
          <w:rFonts w:hint="eastAsia" w:ascii="宋体" w:hAnsi="宋体"/>
          <w:b/>
          <w:sz w:val="52"/>
          <w:szCs w:val="52"/>
        </w:rPr>
      </w:pPr>
      <w:r>
        <w:rPr>
          <w:rFonts w:hint="eastAsia" w:ascii="宋体" w:hAnsi="宋体"/>
          <w:b/>
          <w:sz w:val="52"/>
          <w:szCs w:val="52"/>
        </w:rPr>
        <w:t>编制说明</w:t>
      </w: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sz w:val="32"/>
          <w:szCs w:val="32"/>
        </w:rPr>
      </w:pPr>
      <w:r>
        <w:rPr>
          <w:rFonts w:hint="eastAsia" w:ascii="宋体" w:hAnsi="宋体"/>
          <w:sz w:val="32"/>
          <w:szCs w:val="32"/>
        </w:rPr>
        <w:t>20</w:t>
      </w:r>
      <w:r>
        <w:rPr>
          <w:rFonts w:ascii="宋体" w:hAnsi="宋体"/>
          <w:sz w:val="32"/>
          <w:szCs w:val="32"/>
        </w:rPr>
        <w:t>2</w:t>
      </w:r>
      <w:r>
        <w:rPr>
          <w:rFonts w:hint="eastAsia" w:ascii="宋体" w:hAnsi="宋体"/>
          <w:sz w:val="32"/>
          <w:szCs w:val="32"/>
          <w:lang w:val="en-US" w:eastAsia="zh-CN"/>
        </w:rPr>
        <w:t>3</w:t>
      </w:r>
      <w:r>
        <w:rPr>
          <w:rFonts w:hint="eastAsia" w:ascii="宋体" w:hAnsi="宋体"/>
          <w:sz w:val="32"/>
          <w:szCs w:val="32"/>
        </w:rPr>
        <w:t>年</w:t>
      </w:r>
      <w:r>
        <w:rPr>
          <w:rFonts w:hint="eastAsia" w:ascii="宋体" w:hAnsi="宋体"/>
          <w:sz w:val="32"/>
          <w:szCs w:val="32"/>
          <w:lang w:val="en-US" w:eastAsia="zh-CN"/>
        </w:rPr>
        <w:t>03</w:t>
      </w:r>
      <w:r>
        <w:rPr>
          <w:rFonts w:hint="eastAsia" w:ascii="宋体" w:hAnsi="宋体"/>
          <w:sz w:val="32"/>
          <w:szCs w:val="32"/>
        </w:rPr>
        <w:t>月</w:t>
      </w:r>
    </w:p>
    <w:p>
      <w:pPr>
        <w:pStyle w:val="2"/>
        <w:numPr>
          <w:ilvl w:val="0"/>
          <w:numId w:val="0"/>
        </w:numPr>
        <w:ind w:leftChars="0"/>
        <w:rPr>
          <w:rFonts w:hint="eastAsia" w:ascii="宋体" w:hAnsi="宋体" w:eastAsia="宋体" w:cs="宋体"/>
          <w:sz w:val="28"/>
          <w:szCs w:val="28"/>
        </w:rPr>
      </w:pPr>
      <w:r>
        <w:rPr>
          <w:rFonts w:ascii="宋体" w:hAnsi="宋体"/>
          <w:b/>
          <w:sz w:val="32"/>
          <w:szCs w:val="32"/>
        </w:rPr>
        <w:br w:type="page"/>
      </w:r>
      <w:r>
        <w:rPr>
          <w:rFonts w:hint="eastAsia" w:ascii="宋体" w:hAnsi="宋体" w:eastAsia="宋体" w:cs="宋体"/>
          <w:b/>
          <w:kern w:val="2"/>
          <w:sz w:val="28"/>
          <w:szCs w:val="28"/>
          <w:lang w:val="en-US" w:eastAsia="zh-CN" w:bidi="ar-SA"/>
        </w:rPr>
        <w:t>一、任务来源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根据市场监管总局办公厅关于下达《</w:t>
      </w:r>
      <w:r>
        <w:rPr>
          <w:rFonts w:hint="eastAsia" w:ascii="宋体" w:hAnsi="宋体" w:cs="宋体"/>
          <w:sz w:val="24"/>
          <w:szCs w:val="24"/>
          <w:lang w:val="en-US" w:eastAsia="zh-CN"/>
        </w:rPr>
        <w:t>2022年国家计量技术规范制修订和宣贯计划》（市监计量函</w:t>
      </w:r>
      <w:r>
        <w:rPr>
          <w:rFonts w:hint="eastAsia" w:ascii="宋体" w:hAnsi="宋体" w:eastAsia="宋体" w:cs="宋体"/>
          <w:sz w:val="24"/>
          <w:szCs w:val="24"/>
        </w:rPr>
        <w:t>【202</w:t>
      </w:r>
      <w:r>
        <w:rPr>
          <w:rFonts w:hint="eastAsia" w:ascii="宋体" w:hAnsi="宋体" w:cs="宋体"/>
          <w:sz w:val="24"/>
          <w:szCs w:val="24"/>
          <w:lang w:val="en-US" w:eastAsia="zh-CN"/>
        </w:rPr>
        <w:t>1</w:t>
      </w:r>
      <w:r>
        <w:rPr>
          <w:rFonts w:hint="eastAsia" w:ascii="宋体" w:hAnsi="宋体" w:eastAsia="宋体" w:cs="宋体"/>
          <w:sz w:val="24"/>
          <w:szCs w:val="24"/>
        </w:rPr>
        <w:t>】</w:t>
      </w:r>
      <w:r>
        <w:rPr>
          <w:rFonts w:hint="eastAsia" w:ascii="宋体" w:hAnsi="宋体" w:cs="宋体"/>
          <w:sz w:val="24"/>
          <w:szCs w:val="24"/>
          <w:lang w:val="en-US" w:eastAsia="zh-CN"/>
        </w:rPr>
        <w:t>2109</w:t>
      </w:r>
      <w:r>
        <w:rPr>
          <w:rFonts w:hint="eastAsia" w:ascii="宋体" w:hAnsi="宋体" w:eastAsia="宋体" w:cs="宋体"/>
          <w:sz w:val="24"/>
          <w:szCs w:val="24"/>
        </w:rPr>
        <w:t>号</w:t>
      </w:r>
      <w:r>
        <w:rPr>
          <w:rFonts w:hint="eastAsia" w:ascii="宋体" w:hAnsi="宋体" w:cs="宋体"/>
          <w:sz w:val="24"/>
          <w:szCs w:val="24"/>
          <w:lang w:val="en-US" w:eastAsia="zh-CN"/>
        </w:rPr>
        <w:t>）</w:t>
      </w:r>
      <w:r>
        <w:rPr>
          <w:rFonts w:hint="eastAsia" w:ascii="宋体" w:hAnsi="宋体" w:eastAsia="宋体" w:cs="宋体"/>
          <w:sz w:val="24"/>
          <w:szCs w:val="24"/>
        </w:rPr>
        <w:t>，由全国电磁计量技术委员会归口管理，中国测试技术研究院</w:t>
      </w:r>
      <w:r>
        <w:rPr>
          <w:rFonts w:hint="eastAsia" w:ascii="宋体" w:hAnsi="宋体" w:cs="宋体"/>
          <w:sz w:val="24"/>
          <w:szCs w:val="24"/>
          <w:lang w:eastAsia="zh-CN"/>
        </w:rPr>
        <w:t>、中国计量科学研究院、中国电力科学研究院</w:t>
      </w:r>
      <w:r>
        <w:rPr>
          <w:rFonts w:hint="eastAsia" w:ascii="宋体" w:hAnsi="宋体" w:eastAsia="宋体" w:cs="宋体"/>
          <w:sz w:val="24"/>
          <w:szCs w:val="24"/>
        </w:rPr>
        <w:t>为主要起草单位，</w:t>
      </w:r>
      <w:r>
        <w:rPr>
          <w:rFonts w:hint="eastAsia" w:ascii="宋体" w:hAnsi="宋体" w:cs="宋体"/>
          <w:sz w:val="24"/>
          <w:szCs w:val="24"/>
          <w:lang w:eastAsia="zh-CN"/>
        </w:rPr>
        <w:t>北京无线电计量测试研究所、辽宁省计量科学研究院、山东省计量科学研究院</w:t>
      </w:r>
      <w:r>
        <w:rPr>
          <w:rFonts w:hint="eastAsia" w:ascii="宋体" w:hAnsi="宋体" w:eastAsia="宋体" w:cs="宋体"/>
          <w:sz w:val="24"/>
          <w:szCs w:val="24"/>
        </w:rPr>
        <w:t>为参加单位负责制定国家计量校准规范《</w:t>
      </w:r>
      <w:r>
        <w:rPr>
          <w:rFonts w:hint="eastAsia" w:ascii="宋体" w:hAnsi="宋体" w:cs="宋体"/>
          <w:sz w:val="24"/>
          <w:szCs w:val="24"/>
          <w:lang w:eastAsia="zh-CN"/>
        </w:rPr>
        <w:t>低频电场测量仪</w:t>
      </w:r>
      <w:r>
        <w:rPr>
          <w:rFonts w:hint="eastAsia" w:ascii="宋体" w:hAnsi="宋体" w:eastAsia="宋体" w:cs="宋体"/>
          <w:sz w:val="24"/>
          <w:szCs w:val="24"/>
        </w:rPr>
        <w:t>校准规范》。</w:t>
      </w:r>
    </w:p>
    <w:p>
      <w:pPr>
        <w:spacing w:line="360" w:lineRule="auto"/>
        <w:rPr>
          <w:rFonts w:hint="eastAsia" w:ascii="宋体" w:hAnsi="宋体" w:eastAsia="宋体" w:cs="宋体"/>
          <w:b/>
          <w:sz w:val="28"/>
          <w:szCs w:val="28"/>
        </w:rPr>
      </w:pPr>
      <w:r>
        <w:rPr>
          <w:rFonts w:hint="eastAsia" w:ascii="宋体" w:hAnsi="宋体" w:cs="宋体"/>
          <w:b/>
          <w:sz w:val="28"/>
          <w:szCs w:val="28"/>
          <w:lang w:eastAsia="zh-CN"/>
        </w:rPr>
        <w:t>二、</w:t>
      </w:r>
      <w:r>
        <w:rPr>
          <w:rFonts w:hint="eastAsia" w:ascii="宋体" w:hAnsi="宋体" w:eastAsia="宋体" w:cs="宋体"/>
          <w:b/>
          <w:sz w:val="28"/>
          <w:szCs w:val="28"/>
        </w:rPr>
        <w:t>编制的必要性</w:t>
      </w:r>
    </w:p>
    <w:p>
      <w:pPr>
        <w:autoSpaceDE w:val="0"/>
        <w:autoSpaceDN w:val="0"/>
        <w:adjustRightInd w:val="0"/>
        <w:spacing w:line="360" w:lineRule="auto"/>
        <w:ind w:firstLine="480" w:firstLineChars="200"/>
        <w:rPr>
          <w:rFonts w:hAnsi="宋体"/>
          <w:sz w:val="24"/>
          <w:szCs w:val="24"/>
          <w:shd w:val="clear" w:color="auto" w:fill="FFFFFF"/>
          <w:vertAlign w:val="baseline"/>
        </w:rPr>
      </w:pPr>
      <w:r>
        <w:rPr>
          <w:rFonts w:hint="eastAsia" w:hAnsi="宋体"/>
          <w:sz w:val="24"/>
          <w:szCs w:val="24"/>
          <w:vertAlign w:val="baseline"/>
        </w:rPr>
        <w:t>生态环境监测是生态环境保护的基础，是生态文明建设的重要支撑。低频电场测量</w:t>
      </w:r>
      <w:r>
        <w:rPr>
          <w:rFonts w:hAnsi="宋体"/>
          <w:sz w:val="24"/>
          <w:szCs w:val="24"/>
          <w:vertAlign w:val="baseline"/>
        </w:rPr>
        <w:t>仪用于</w:t>
      </w:r>
      <w:r>
        <w:rPr>
          <w:rFonts w:hint="eastAsia" w:hAnsi="宋体"/>
          <w:sz w:val="24"/>
          <w:szCs w:val="24"/>
          <w:vertAlign w:val="baseline"/>
        </w:rPr>
        <w:t>低频电场环境的监测，应用领域包括：</w:t>
      </w:r>
      <w:r>
        <w:rPr>
          <w:rFonts w:hAnsi="宋体"/>
          <w:sz w:val="24"/>
          <w:szCs w:val="24"/>
          <w:shd w:val="clear" w:color="auto" w:fill="FFFFFF"/>
          <w:vertAlign w:val="baseline"/>
        </w:rPr>
        <w:t>劳动保护，职业病防治，环境检测，环境卫生等。</w:t>
      </w:r>
      <w:r>
        <w:rPr>
          <w:rFonts w:hint="eastAsia" w:hAnsi="宋体"/>
          <w:sz w:val="24"/>
          <w:szCs w:val="24"/>
          <w:shd w:val="clear" w:color="auto" w:fill="FFFFFF"/>
          <w:vertAlign w:val="baseline"/>
        </w:rPr>
        <w:t>使用</w:t>
      </w:r>
      <w:r>
        <w:rPr>
          <w:rFonts w:hint="eastAsia" w:hAnsi="宋体"/>
          <w:sz w:val="24"/>
          <w:szCs w:val="24"/>
          <w:vertAlign w:val="baseline"/>
        </w:rPr>
        <w:t>低频电场测量</w:t>
      </w:r>
      <w:r>
        <w:rPr>
          <w:rFonts w:hAnsi="宋体"/>
          <w:sz w:val="24"/>
          <w:szCs w:val="24"/>
          <w:vertAlign w:val="baseline"/>
        </w:rPr>
        <w:t>仪</w:t>
      </w:r>
      <w:r>
        <w:rPr>
          <w:rFonts w:hint="eastAsia" w:hAnsi="宋体"/>
          <w:sz w:val="24"/>
          <w:szCs w:val="24"/>
          <w:shd w:val="clear" w:color="auto" w:fill="FFFFFF"/>
          <w:vertAlign w:val="baseline"/>
        </w:rPr>
        <w:t>对电场环境进行监测</w:t>
      </w:r>
      <w:r>
        <w:rPr>
          <w:rFonts w:hAnsi="宋体"/>
          <w:sz w:val="24"/>
          <w:szCs w:val="24"/>
          <w:shd w:val="clear" w:color="auto" w:fill="FFFFFF"/>
          <w:vertAlign w:val="baseline"/>
        </w:rPr>
        <w:t>，</w:t>
      </w:r>
      <w:r>
        <w:rPr>
          <w:rFonts w:hint="eastAsia" w:hAnsi="宋体"/>
          <w:sz w:val="24"/>
          <w:szCs w:val="24"/>
          <w:shd w:val="clear" w:color="auto" w:fill="FFFFFF"/>
          <w:vertAlign w:val="baseline"/>
        </w:rPr>
        <w:t>测量结果再</w:t>
      </w:r>
      <w:r>
        <w:rPr>
          <w:rFonts w:hAnsi="宋体"/>
          <w:sz w:val="24"/>
          <w:szCs w:val="24"/>
          <w:shd w:val="clear" w:color="auto" w:fill="FFFFFF"/>
          <w:vertAlign w:val="baseline"/>
        </w:rPr>
        <w:t>按《GB8702-2014 电磁环境控制限值》的要求，对被测环境进行是否超限值的评价，为了保证数据准确可靠，</w:t>
      </w:r>
      <w:r>
        <w:rPr>
          <w:rFonts w:hint="eastAsia" w:hAnsi="宋体"/>
          <w:sz w:val="24"/>
          <w:szCs w:val="24"/>
          <w:shd w:val="clear" w:color="auto" w:fill="FFFFFF"/>
          <w:vertAlign w:val="baseline"/>
        </w:rPr>
        <w:t>环境评价正确，</w:t>
      </w:r>
      <w:r>
        <w:rPr>
          <w:rFonts w:hAnsi="宋体"/>
          <w:sz w:val="24"/>
          <w:szCs w:val="24"/>
          <w:shd w:val="clear" w:color="auto" w:fill="FFFFFF"/>
          <w:vertAlign w:val="baseline"/>
        </w:rPr>
        <w:t>需对其进行</w:t>
      </w:r>
      <w:r>
        <w:rPr>
          <w:rFonts w:hint="eastAsia" w:hAnsi="宋体"/>
          <w:sz w:val="24"/>
          <w:szCs w:val="24"/>
          <w:shd w:val="clear" w:color="auto" w:fill="FFFFFF"/>
          <w:vertAlign w:val="baseline"/>
        </w:rPr>
        <w:t>有效量值溯源</w:t>
      </w:r>
      <w:r>
        <w:rPr>
          <w:rFonts w:hAnsi="宋体"/>
          <w:sz w:val="24"/>
          <w:szCs w:val="24"/>
          <w:shd w:val="clear" w:color="auto" w:fill="FFFFFF"/>
          <w:vertAlign w:val="baseline"/>
        </w:rPr>
        <w:t>。</w:t>
      </w:r>
    </w:p>
    <w:p>
      <w:pPr>
        <w:autoSpaceDE w:val="0"/>
        <w:autoSpaceDN w:val="0"/>
        <w:adjustRightInd w:val="0"/>
        <w:spacing w:line="360" w:lineRule="auto"/>
        <w:ind w:firstLine="480" w:firstLineChars="200"/>
        <w:rPr>
          <w:rFonts w:hAnsi="宋体"/>
          <w:sz w:val="24"/>
          <w:szCs w:val="24"/>
          <w:shd w:val="clear" w:color="auto" w:fill="FFFFFF"/>
          <w:vertAlign w:val="baseline"/>
        </w:rPr>
      </w:pPr>
      <w:r>
        <w:rPr>
          <w:rFonts w:hAnsi="宋体"/>
          <w:sz w:val="24"/>
          <w:szCs w:val="24"/>
          <w:shd w:val="clear" w:color="auto" w:fill="FFFFFF"/>
          <w:vertAlign w:val="baseline"/>
        </w:rPr>
        <w:t>目前我国没有相关的</w:t>
      </w:r>
      <w:r>
        <w:rPr>
          <w:rFonts w:hint="eastAsia" w:hAnsi="宋体"/>
          <w:sz w:val="24"/>
          <w:szCs w:val="24"/>
          <w:shd w:val="clear" w:color="auto" w:fill="FFFFFF"/>
          <w:vertAlign w:val="baseline"/>
        </w:rPr>
        <w:t>计量技术</w:t>
      </w:r>
      <w:r>
        <w:rPr>
          <w:rFonts w:hAnsi="宋体"/>
          <w:sz w:val="24"/>
          <w:szCs w:val="24"/>
          <w:shd w:val="clear" w:color="auto" w:fill="FFFFFF"/>
          <w:vertAlign w:val="baseline"/>
        </w:rPr>
        <w:t>规范，开展</w:t>
      </w:r>
      <w:r>
        <w:rPr>
          <w:rFonts w:hint="eastAsia" w:hAnsi="宋体"/>
          <w:sz w:val="24"/>
          <w:szCs w:val="24"/>
          <w:vertAlign w:val="baseline"/>
        </w:rPr>
        <w:t>低频电场测量</w:t>
      </w:r>
      <w:r>
        <w:rPr>
          <w:rFonts w:hAnsi="宋体"/>
          <w:sz w:val="24"/>
          <w:szCs w:val="24"/>
          <w:vertAlign w:val="baseline"/>
        </w:rPr>
        <w:t>仪</w:t>
      </w:r>
      <w:r>
        <w:rPr>
          <w:rFonts w:hAnsi="宋体"/>
          <w:sz w:val="24"/>
          <w:szCs w:val="24"/>
          <w:shd w:val="clear" w:color="auto" w:fill="FFFFFF"/>
          <w:vertAlign w:val="baseline"/>
        </w:rPr>
        <w:t>校准的计量机构，一般都是参照</w:t>
      </w:r>
      <w:r>
        <w:rPr>
          <w:rFonts w:hint="eastAsia" w:hAnsi="宋体"/>
          <w:sz w:val="24"/>
          <w:szCs w:val="24"/>
          <w:shd w:val="clear" w:color="auto" w:fill="FFFFFF"/>
          <w:vertAlign w:val="baseline"/>
        </w:rPr>
        <w:t xml:space="preserve">《 </w:t>
      </w:r>
      <w:r>
        <w:rPr>
          <w:rFonts w:hAnsi="宋体"/>
          <w:sz w:val="24"/>
          <w:szCs w:val="24"/>
          <w:shd w:val="clear" w:color="auto" w:fill="FFFFFF"/>
          <w:vertAlign w:val="baseline"/>
        </w:rPr>
        <w:t>GB/T 12720</w:t>
      </w:r>
      <w:r>
        <w:rPr>
          <w:rFonts w:hint="eastAsia" w:hAnsi="宋体"/>
          <w:sz w:val="24"/>
          <w:szCs w:val="24"/>
          <w:shd w:val="clear" w:color="auto" w:fill="FFFFFF"/>
          <w:vertAlign w:val="baseline"/>
        </w:rPr>
        <w:t>工频电场测量》、《 DL/T 988高压交流架空送电线路、变电站工频电场和磁场测量方法》等检测标准的附录部分来开展校准工作，这些参考标准不统一，且都只着重于工频下的电场强度，不能满足环境监测低频范围测量的需求。</w:t>
      </w:r>
    </w:p>
    <w:p>
      <w:pPr>
        <w:autoSpaceDE w:val="0"/>
        <w:autoSpaceDN w:val="0"/>
        <w:adjustRightInd w:val="0"/>
        <w:spacing w:line="360" w:lineRule="auto"/>
        <w:ind w:firstLine="480" w:firstLineChars="200"/>
        <w:rPr>
          <w:rFonts w:hAnsi="宋体"/>
          <w:sz w:val="24"/>
          <w:szCs w:val="24"/>
          <w:shd w:val="clear" w:color="auto" w:fill="FFFFFF"/>
          <w:vertAlign w:val="baseline"/>
        </w:rPr>
      </w:pPr>
      <w:r>
        <w:rPr>
          <w:rFonts w:hint="eastAsia" w:hAnsi="宋体"/>
          <w:sz w:val="24"/>
          <w:szCs w:val="24"/>
          <w:shd w:val="clear" w:color="auto" w:fill="FFFFFF"/>
          <w:vertAlign w:val="baseline"/>
        </w:rPr>
        <w:t>目前国外已有标准</w:t>
      </w:r>
      <w:r>
        <w:rPr>
          <w:rFonts w:hAnsi="宋体"/>
          <w:sz w:val="24"/>
          <w:szCs w:val="24"/>
          <w:shd w:val="clear" w:color="auto" w:fill="FFFFFF"/>
          <w:vertAlign w:val="baseline"/>
        </w:rPr>
        <w:t>《IEC 61786-1-2013 关于人体暴露于1 Hz至100 kHz直流电磁场、交流电磁场及交流电场的测量.第1部分:测量仪器的要求》</w:t>
      </w:r>
      <w:r>
        <w:rPr>
          <w:rFonts w:hint="eastAsia" w:hAnsi="宋体"/>
          <w:sz w:val="24"/>
          <w:szCs w:val="24"/>
          <w:shd w:val="clear" w:color="auto" w:fill="FFFFFF"/>
          <w:vertAlign w:val="baseline"/>
        </w:rPr>
        <w:t>，该标准也存在校准过程描述不规范，部分影响量没有涉及等问题。</w:t>
      </w:r>
      <w:r>
        <w:rPr>
          <w:rFonts w:hAnsi="宋体"/>
          <w:sz w:val="24"/>
          <w:szCs w:val="24"/>
          <w:shd w:val="clear" w:color="auto" w:fill="FFFFFF"/>
          <w:vertAlign w:val="baseline"/>
        </w:rPr>
        <w:t xml:space="preserve"> </w:t>
      </w:r>
    </w:p>
    <w:p>
      <w:pPr>
        <w:spacing w:line="360" w:lineRule="auto"/>
        <w:ind w:firstLine="480" w:firstLineChars="200"/>
        <w:rPr>
          <w:rFonts w:hint="eastAsia" w:ascii="宋体" w:hAnsi="宋体" w:eastAsia="宋体" w:cs="宋体"/>
          <w:sz w:val="24"/>
          <w:szCs w:val="24"/>
          <w:lang w:eastAsia="zh-CN"/>
        </w:rPr>
      </w:pPr>
      <w:r>
        <w:rPr>
          <w:rFonts w:hAnsi="宋体"/>
          <w:sz w:val="24"/>
          <w:szCs w:val="24"/>
          <w:shd w:val="clear" w:color="auto" w:fill="FFFFFF"/>
          <w:vertAlign w:val="baseline"/>
        </w:rPr>
        <w:t>为了加强</w:t>
      </w:r>
      <w:r>
        <w:rPr>
          <w:rFonts w:hint="eastAsia" w:hAnsi="宋体"/>
          <w:sz w:val="24"/>
          <w:szCs w:val="24"/>
          <w:vertAlign w:val="baseline"/>
        </w:rPr>
        <w:t>低频电场测量</w:t>
      </w:r>
      <w:r>
        <w:rPr>
          <w:rFonts w:hAnsi="宋体"/>
          <w:sz w:val="24"/>
          <w:szCs w:val="24"/>
          <w:vertAlign w:val="baseline"/>
        </w:rPr>
        <w:t>仪</w:t>
      </w:r>
      <w:r>
        <w:rPr>
          <w:rFonts w:hAnsi="宋体"/>
          <w:sz w:val="24"/>
          <w:szCs w:val="24"/>
          <w:shd w:val="clear" w:color="auto" w:fill="FFFFFF"/>
          <w:vertAlign w:val="baseline"/>
        </w:rPr>
        <w:t>质量控制与管理，保证量值溯源准确可靠，</w:t>
      </w:r>
      <w:r>
        <w:rPr>
          <w:rFonts w:hint="eastAsia" w:hAnsi="宋体"/>
          <w:sz w:val="24"/>
          <w:szCs w:val="24"/>
          <w:shd w:val="clear" w:color="auto" w:fill="FFFFFF"/>
          <w:vertAlign w:val="baseline"/>
          <w:lang w:eastAsia="zh-CN"/>
        </w:rPr>
        <w:t>制定低频电场测量仪的校准规范十分必要。</w:t>
      </w:r>
    </w:p>
    <w:p>
      <w:pPr>
        <w:pStyle w:val="2"/>
        <w:numPr>
          <w:ilvl w:val="0"/>
          <w:numId w:val="0"/>
        </w:numPr>
        <w:ind w:leftChars="0"/>
        <w:rPr>
          <w:rFonts w:hint="eastAsia" w:ascii="宋体" w:hAnsi="宋体" w:eastAsia="宋体" w:cs="宋体"/>
        </w:rPr>
      </w:pPr>
      <w:r>
        <w:rPr>
          <w:rFonts w:hint="eastAsia" w:ascii="宋体" w:eastAsia="宋体" w:cs="宋体"/>
          <w:lang w:eastAsia="zh-CN"/>
        </w:rPr>
        <w:t>三、</w:t>
      </w:r>
      <w:r>
        <w:rPr>
          <w:rFonts w:hint="eastAsia" w:ascii="宋体" w:hAnsi="宋体" w:eastAsia="宋体" w:cs="宋体"/>
        </w:rPr>
        <w:t>编制过程</w:t>
      </w:r>
    </w:p>
    <w:p>
      <w:pPr>
        <w:pStyle w:val="3"/>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rPr>
        <w:t>各阶段工作</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月，全国电磁计量技术委员会下发了《国家计量技术法规制定/修订计划立项通知》</w:t>
      </w:r>
      <w:r>
        <w:rPr>
          <w:rFonts w:hint="eastAsia" w:ascii="宋体" w:hAnsi="宋体" w:cs="宋体"/>
          <w:sz w:val="24"/>
          <w:szCs w:val="24"/>
          <w:highlight w:val="none"/>
          <w:lang w:eastAsia="zh-CN"/>
        </w:rPr>
        <w:t>低频电场测量仪</w:t>
      </w:r>
      <w:r>
        <w:rPr>
          <w:rFonts w:hint="eastAsia" w:ascii="宋体" w:hAnsi="宋体" w:eastAsia="宋体" w:cs="宋体"/>
          <w:sz w:val="24"/>
          <w:szCs w:val="24"/>
          <w:highlight w:val="none"/>
        </w:rPr>
        <w:t>校准规范编制工作组正式成立</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调研被测设备的主要生产厂家和主要型号，调研校准所用标准器及配套设备</w:t>
      </w:r>
      <w:r>
        <w:rPr>
          <w:rFonts w:hint="eastAsia" w:ascii="宋体" w:hAnsi="宋体" w:cs="宋体"/>
          <w:sz w:val="24"/>
          <w:szCs w:val="24"/>
          <w:highlight w:val="none"/>
          <w:lang w:eastAsia="zh-CN"/>
        </w:rPr>
        <w:t>。</w:t>
      </w:r>
    </w:p>
    <w:p>
      <w:pPr>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cs="宋体"/>
          <w:sz w:val="24"/>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月</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2月</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试验</w:t>
      </w:r>
      <w:r>
        <w:rPr>
          <w:rFonts w:hint="eastAsia" w:ascii="宋体" w:hAnsi="宋体" w:eastAsia="宋体" w:cs="宋体"/>
          <w:sz w:val="24"/>
          <w:szCs w:val="24"/>
          <w:highlight w:val="none"/>
        </w:rPr>
        <w:t>选取此类被测样品的典型型号，确定各个技术性能指标，研究校准方法，进行性能指标的</w:t>
      </w:r>
      <w:r>
        <w:rPr>
          <w:rFonts w:hint="eastAsia" w:ascii="宋体" w:hAnsi="宋体" w:cs="宋体"/>
          <w:sz w:val="24"/>
          <w:szCs w:val="24"/>
          <w:highlight w:val="none"/>
          <w:lang w:eastAsia="zh-CN"/>
        </w:rPr>
        <w:t>试验</w:t>
      </w:r>
      <w:r>
        <w:rPr>
          <w:rFonts w:hint="eastAsia" w:ascii="宋体" w:hAnsi="宋体" w:eastAsia="宋体" w:cs="宋体"/>
          <w:sz w:val="24"/>
          <w:szCs w:val="24"/>
          <w:highlight w:val="none"/>
        </w:rPr>
        <w:t>和不确定度评定，编制</w:t>
      </w:r>
      <w:r>
        <w:rPr>
          <w:rFonts w:hint="eastAsia" w:ascii="宋体" w:hAnsi="宋体" w:cs="宋体"/>
          <w:sz w:val="24"/>
          <w:szCs w:val="24"/>
          <w:highlight w:val="none"/>
          <w:lang w:eastAsia="zh-CN"/>
        </w:rPr>
        <w:t>试验</w:t>
      </w:r>
      <w:r>
        <w:rPr>
          <w:rFonts w:hint="eastAsia" w:ascii="宋体" w:hAnsi="宋体" w:eastAsia="宋体" w:cs="宋体"/>
          <w:sz w:val="24"/>
          <w:szCs w:val="24"/>
          <w:highlight w:val="none"/>
        </w:rPr>
        <w:t>报告和编制说明</w:t>
      </w:r>
      <w:r>
        <w:rPr>
          <w:rFonts w:hint="eastAsia" w:ascii="宋体" w:hAnsi="宋体" w:cs="宋体"/>
          <w:sz w:val="24"/>
          <w:szCs w:val="24"/>
          <w:highlight w:val="none"/>
          <w:lang w:eastAsia="zh-CN"/>
        </w:rPr>
        <w:t>，形成校准规范初稿。初稿报送全国电磁计量技术委员会后，委员会对</w:t>
      </w:r>
      <w:r>
        <w:rPr>
          <w:rFonts w:hint="eastAsia" w:ascii="宋体" w:hAnsi="宋体" w:cs="宋体"/>
          <w:sz w:val="24"/>
          <w:lang w:eastAsia="zh-CN"/>
        </w:rPr>
        <w:t>《低频电场测量仪校准规范》进行了函审工作，反馈意见及处理情况如表</w:t>
      </w:r>
      <w:r>
        <w:rPr>
          <w:rFonts w:hint="eastAsia" w:ascii="宋体" w:hAnsi="宋体" w:cs="宋体"/>
          <w:sz w:val="24"/>
          <w:lang w:val="en-US" w:eastAsia="zh-CN"/>
        </w:rPr>
        <w:t>1</w:t>
      </w:r>
      <w:r>
        <w:rPr>
          <w:rFonts w:hint="eastAsia" w:ascii="宋体" w:hAnsi="宋体" w:cs="宋体"/>
          <w:sz w:val="24"/>
          <w:lang w:eastAsia="zh-CN"/>
        </w:rPr>
        <w:t>：</w:t>
      </w:r>
    </w:p>
    <w:p>
      <w:pPr>
        <w:jc w:val="center"/>
        <w:rPr>
          <w:rFonts w:hint="default" w:ascii="宋体" w:hAnsi="宋体" w:cs="宋体"/>
          <w:sz w:val="24"/>
          <w:lang w:val="en-US" w:eastAsia="zh-CN"/>
        </w:rPr>
      </w:pPr>
      <w:r>
        <w:rPr>
          <w:rFonts w:hint="eastAsia" w:ascii="宋体" w:hAnsi="宋体" w:cs="宋体"/>
          <w:sz w:val="21"/>
          <w:szCs w:val="21"/>
          <w:lang w:eastAsia="zh-CN"/>
        </w:rPr>
        <w:t>表</w:t>
      </w:r>
      <w:r>
        <w:rPr>
          <w:rFonts w:hint="eastAsia" w:ascii="宋体" w:hAnsi="宋体" w:cs="宋体"/>
          <w:sz w:val="21"/>
          <w:szCs w:val="21"/>
          <w:lang w:val="en-US" w:eastAsia="zh-CN"/>
        </w:rPr>
        <w:t>1初稿函审意见及处理情况</w:t>
      </w:r>
    </w:p>
    <w:tbl>
      <w:tblPr>
        <w:tblStyle w:val="6"/>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3462"/>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dxa"/>
            <w:vAlign w:val="center"/>
          </w:tcPr>
          <w:p>
            <w:pPr>
              <w:jc w:val="center"/>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序号</w:t>
            </w:r>
          </w:p>
        </w:tc>
        <w:tc>
          <w:tcPr>
            <w:tcW w:w="3462" w:type="dxa"/>
            <w:vAlign w:val="center"/>
          </w:tcPr>
          <w:p>
            <w:pPr>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反馈意见</w:t>
            </w:r>
          </w:p>
        </w:tc>
        <w:tc>
          <w:tcPr>
            <w:tcW w:w="4215" w:type="dxa"/>
            <w:vAlign w:val="center"/>
          </w:tcPr>
          <w:p>
            <w:pPr>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3462"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规范中被校场强上限仅到10kV/m，偏小，建议重新确定测量范围。</w:t>
            </w:r>
          </w:p>
        </w:tc>
        <w:tc>
          <w:tcPr>
            <w:tcW w:w="4215"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采纳。测量范围扩展到100kV/m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3462"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低频电磁场分析仪通常具有电场和磁场测量功能，建议电场磁场合并编写</w:t>
            </w:r>
          </w:p>
        </w:tc>
        <w:tc>
          <w:tcPr>
            <w:tcW w:w="4215"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不采纳，现已有《JJG1049-2009弱磁场交变磁强计检定规程》《GB/T 40661-2021工频磁场测量仪校准规范》能满足低频磁场强度校准需求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3462"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建议增加对平行板电场装置屏蔽措施的要求，考虑人员安全和计量准确性</w:t>
            </w:r>
          </w:p>
        </w:tc>
        <w:tc>
          <w:tcPr>
            <w:tcW w:w="4215" w:type="dxa"/>
            <w:vAlign w:val="center"/>
          </w:tcPr>
          <w:p>
            <w:pPr>
              <w:jc w:val="both"/>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采纳，在规范中体现人员、其他设备安全距离</w:t>
            </w:r>
          </w:p>
        </w:tc>
      </w:tr>
    </w:tbl>
    <w:p>
      <w:pPr>
        <w:widowControl w:val="0"/>
        <w:numPr>
          <w:ilvl w:val="0"/>
          <w:numId w:val="0"/>
        </w:numPr>
        <w:spacing w:line="360" w:lineRule="auto"/>
        <w:ind w:firstLine="480" w:firstLineChars="200"/>
        <w:jc w:val="both"/>
        <w:rPr>
          <w:rFonts w:hint="default"/>
          <w:sz w:val="24"/>
          <w:szCs w:val="24"/>
          <w:lang w:val="en-US"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sz w:val="24"/>
          <w:szCs w:val="24"/>
          <w:lang w:val="en-US" w:eastAsia="zh-CN"/>
        </w:rPr>
        <w:t>2022年12月7日，全国电磁计量技术委员会组织的“制定《低频电场测量仪校准规范》启动会暨研讨会在线上召开。与会代表经过认真研究，在充分讨论的基础上达成了一致意见，提出了以下主要修改意见：</w:t>
      </w:r>
    </w:p>
    <w:p>
      <w:pPr>
        <w:widowControl w:val="0"/>
        <w:numPr>
          <w:ilvl w:val="0"/>
          <w:numId w:val="2"/>
        </w:numPr>
        <w:spacing w:line="360" w:lineRule="auto"/>
        <w:ind w:left="420" w:leftChars="0" w:hanging="420" w:firstLineChars="0"/>
        <w:jc w:val="both"/>
        <w:rPr>
          <w:rFonts w:hint="eastAsia"/>
          <w:sz w:val="24"/>
          <w:szCs w:val="24"/>
          <w:lang w:val="en-US" w:eastAsia="zh-CN"/>
        </w:rPr>
      </w:pPr>
      <w:r>
        <w:rPr>
          <w:rFonts w:hint="eastAsia"/>
          <w:sz w:val="24"/>
          <w:szCs w:val="24"/>
          <w:lang w:val="en-US" w:eastAsia="zh-CN"/>
        </w:rPr>
        <w:t>现采用初稿格式有误，采用2022版校准规范格式进行编写；</w:t>
      </w:r>
    </w:p>
    <w:p>
      <w:pPr>
        <w:widowControl w:val="0"/>
        <w:numPr>
          <w:ilvl w:val="0"/>
          <w:numId w:val="2"/>
        </w:numPr>
        <w:spacing w:line="360" w:lineRule="auto"/>
        <w:ind w:left="420" w:leftChars="0" w:hanging="420" w:firstLineChars="0"/>
        <w:jc w:val="both"/>
        <w:rPr>
          <w:rFonts w:hint="default"/>
          <w:sz w:val="24"/>
          <w:szCs w:val="24"/>
          <w:lang w:val="en-US" w:eastAsia="zh-CN"/>
        </w:rPr>
      </w:pPr>
      <w:r>
        <w:rPr>
          <w:rFonts w:hint="eastAsia"/>
          <w:sz w:val="24"/>
          <w:szCs w:val="24"/>
          <w:lang w:val="en-US" w:eastAsia="zh-CN"/>
        </w:rPr>
        <w:t>“术语和计量单位”表述不规范，另外增加“频率特性”的描述；</w:t>
      </w:r>
    </w:p>
    <w:p>
      <w:pPr>
        <w:widowControl w:val="0"/>
        <w:numPr>
          <w:ilvl w:val="0"/>
          <w:numId w:val="2"/>
        </w:numPr>
        <w:spacing w:line="360" w:lineRule="auto"/>
        <w:ind w:left="420" w:leftChars="0" w:hanging="420" w:firstLineChars="0"/>
        <w:jc w:val="both"/>
        <w:rPr>
          <w:rFonts w:hint="default"/>
          <w:sz w:val="24"/>
          <w:szCs w:val="24"/>
          <w:lang w:val="en-US" w:eastAsia="zh-CN"/>
        </w:rPr>
      </w:pPr>
      <w:r>
        <w:rPr>
          <w:rFonts w:hint="eastAsia"/>
          <w:sz w:val="24"/>
          <w:szCs w:val="24"/>
          <w:lang w:val="en-US" w:eastAsia="zh-CN"/>
        </w:rPr>
        <w:t>“计量特性”条款，频率范围与电场强度描述不准确。将工频下的电场强度范围和非工频下的电场强度范围分别进行规定；</w:t>
      </w:r>
    </w:p>
    <w:p>
      <w:pPr>
        <w:widowControl w:val="0"/>
        <w:numPr>
          <w:ilvl w:val="0"/>
          <w:numId w:val="2"/>
        </w:numPr>
        <w:spacing w:line="360" w:lineRule="auto"/>
        <w:ind w:left="420" w:leftChars="0" w:hanging="420" w:firstLineChars="0"/>
        <w:jc w:val="both"/>
        <w:rPr>
          <w:rFonts w:hint="eastAsia"/>
          <w:sz w:val="24"/>
          <w:szCs w:val="24"/>
          <w:lang w:val="en-US" w:eastAsia="zh-CN"/>
        </w:rPr>
      </w:pPr>
      <w:r>
        <w:rPr>
          <w:rFonts w:hint="eastAsia"/>
          <w:sz w:val="24"/>
          <w:szCs w:val="24"/>
          <w:lang w:val="en-US" w:eastAsia="zh-CN"/>
        </w:rPr>
        <w:t>环境条件相对湿度修改为≤80%RH；</w:t>
      </w:r>
    </w:p>
    <w:p>
      <w:pPr>
        <w:widowControl w:val="0"/>
        <w:numPr>
          <w:ilvl w:val="0"/>
          <w:numId w:val="2"/>
        </w:numPr>
        <w:spacing w:line="360" w:lineRule="auto"/>
        <w:ind w:left="420" w:leftChars="0" w:hanging="420" w:firstLineChars="0"/>
        <w:jc w:val="both"/>
        <w:rPr>
          <w:rFonts w:hint="eastAsia"/>
          <w:sz w:val="24"/>
          <w:szCs w:val="24"/>
          <w:lang w:val="en-US" w:eastAsia="zh-CN"/>
        </w:rPr>
      </w:pPr>
      <w:r>
        <w:rPr>
          <w:rFonts w:hint="eastAsia"/>
          <w:sz w:val="24"/>
          <w:szCs w:val="24"/>
          <w:lang w:val="en-US" w:eastAsia="zh-CN"/>
        </w:rPr>
        <w:t>明确高压状态下的安全距离；</w:t>
      </w:r>
    </w:p>
    <w:p>
      <w:pPr>
        <w:widowControl w:val="0"/>
        <w:numPr>
          <w:ilvl w:val="0"/>
          <w:numId w:val="2"/>
        </w:numPr>
        <w:spacing w:line="360" w:lineRule="auto"/>
        <w:ind w:left="420" w:leftChars="0" w:hanging="420" w:firstLineChars="0"/>
        <w:jc w:val="both"/>
        <w:rPr>
          <w:rFonts w:hint="eastAsia"/>
          <w:sz w:val="24"/>
          <w:szCs w:val="24"/>
          <w:lang w:val="en-US" w:eastAsia="zh-CN"/>
        </w:rPr>
      </w:pPr>
      <w:r>
        <w:rPr>
          <w:rFonts w:hint="eastAsia"/>
          <w:sz w:val="24"/>
          <w:szCs w:val="24"/>
          <w:lang w:val="en-US" w:eastAsia="zh-CN"/>
        </w:rPr>
        <w:t>“计量标准器具”条款规定平行板装置的尺寸。添加附录，在该附录中对其他形式的平行板结构和尺寸进行说明；</w:t>
      </w:r>
    </w:p>
    <w:p>
      <w:pPr>
        <w:widowControl w:val="0"/>
        <w:numPr>
          <w:ilvl w:val="0"/>
          <w:numId w:val="2"/>
        </w:numPr>
        <w:spacing w:line="360" w:lineRule="auto"/>
        <w:ind w:left="420" w:leftChars="0" w:hanging="420" w:firstLineChars="0"/>
        <w:jc w:val="both"/>
        <w:rPr>
          <w:rFonts w:hint="default"/>
          <w:sz w:val="24"/>
          <w:szCs w:val="24"/>
          <w:lang w:val="en-US" w:eastAsia="zh-CN"/>
        </w:rPr>
      </w:pPr>
      <w:r>
        <w:rPr>
          <w:rFonts w:hint="eastAsia"/>
          <w:sz w:val="24"/>
          <w:szCs w:val="24"/>
          <w:lang w:val="en-US" w:eastAsia="zh-CN"/>
        </w:rPr>
        <w:t>“计量标准器具”条款，明确所使用的激励电源的频率范围、电压范围等参数指标；</w:t>
      </w:r>
    </w:p>
    <w:p>
      <w:pPr>
        <w:widowControl w:val="0"/>
        <w:numPr>
          <w:ilvl w:val="0"/>
          <w:numId w:val="2"/>
        </w:numPr>
        <w:spacing w:line="360" w:lineRule="auto"/>
        <w:ind w:left="420" w:leftChars="0" w:hanging="420" w:firstLineChars="0"/>
        <w:jc w:val="both"/>
        <w:rPr>
          <w:rFonts w:hint="default"/>
          <w:sz w:val="24"/>
          <w:szCs w:val="24"/>
          <w:lang w:val="en-US" w:eastAsia="zh-CN"/>
        </w:rPr>
      </w:pPr>
      <w:r>
        <w:rPr>
          <w:rFonts w:hint="eastAsia"/>
          <w:sz w:val="24"/>
          <w:szCs w:val="24"/>
          <w:lang w:val="en-US" w:eastAsia="zh-CN"/>
        </w:rPr>
        <w:t>“校准项目”条款表格中的备注内容说明出处；</w:t>
      </w:r>
    </w:p>
    <w:p>
      <w:pPr>
        <w:widowControl w:val="0"/>
        <w:numPr>
          <w:ilvl w:val="0"/>
          <w:numId w:val="2"/>
        </w:numPr>
        <w:spacing w:line="360" w:lineRule="auto"/>
        <w:ind w:left="420" w:leftChars="0" w:hanging="420" w:firstLineChars="0"/>
        <w:jc w:val="both"/>
        <w:rPr>
          <w:rFonts w:hint="eastAsia"/>
          <w:sz w:val="24"/>
          <w:szCs w:val="24"/>
          <w:lang w:val="en-US" w:eastAsia="zh-CN"/>
        </w:rPr>
      </w:pPr>
      <w:r>
        <w:rPr>
          <w:rFonts w:hint="eastAsia"/>
          <w:sz w:val="24"/>
          <w:szCs w:val="24"/>
          <w:lang w:val="en-US" w:eastAsia="zh-CN"/>
        </w:rPr>
        <w:t>“外观及工作正常性检查”修改为“校准前准备”条款。</w:t>
      </w:r>
    </w:p>
    <w:p>
      <w:pPr>
        <w:widowControl w:val="0"/>
        <w:numPr>
          <w:ilvl w:val="0"/>
          <w:numId w:val="2"/>
        </w:numPr>
        <w:spacing w:line="360" w:lineRule="auto"/>
        <w:ind w:left="420" w:leftChars="0" w:hanging="420" w:firstLineChars="0"/>
        <w:jc w:val="both"/>
        <w:rPr>
          <w:rFonts w:hint="default"/>
          <w:sz w:val="24"/>
          <w:szCs w:val="24"/>
          <w:lang w:val="en-US" w:eastAsia="zh-CN"/>
        </w:rPr>
      </w:pPr>
      <w:r>
        <w:rPr>
          <w:rFonts w:hint="eastAsia"/>
          <w:sz w:val="24"/>
          <w:szCs w:val="24"/>
          <w:lang w:val="en-US" w:eastAsia="zh-CN"/>
        </w:rPr>
        <w:t>“附录C不确定度评定示例”部分，不确定度部分影响量使用自身场扰动可忽略的小型传感器进行评估。</w:t>
      </w:r>
    </w:p>
    <w:p>
      <w:pPr>
        <w:spacing w:line="360" w:lineRule="auto"/>
        <w:rPr>
          <w:rFonts w:hint="eastAsia" w:ascii="宋体" w:hAnsi="宋体"/>
          <w:b/>
          <w:sz w:val="28"/>
          <w:szCs w:val="28"/>
          <w:highlight w:val="none"/>
        </w:rPr>
      </w:pPr>
      <w:r>
        <w:rPr>
          <w:rFonts w:hint="eastAsia" w:ascii="宋体" w:hAnsi="宋体"/>
          <w:b/>
          <w:sz w:val="28"/>
          <w:szCs w:val="28"/>
          <w:highlight w:val="none"/>
          <w:lang w:eastAsia="zh-CN"/>
        </w:rPr>
        <w:t>四、</w:t>
      </w:r>
      <w:r>
        <w:rPr>
          <w:rFonts w:hint="eastAsia" w:ascii="宋体" w:hAnsi="宋体"/>
          <w:b/>
          <w:sz w:val="28"/>
          <w:szCs w:val="28"/>
          <w:highlight w:val="none"/>
        </w:rPr>
        <w:t>编写原则和主要内容</w:t>
      </w:r>
    </w:p>
    <w:p>
      <w:pPr>
        <w:spacing w:line="360" w:lineRule="auto"/>
        <w:rPr>
          <w:rFonts w:hint="eastAsia"/>
          <w:b/>
          <w:bCs/>
          <w:sz w:val="24"/>
          <w:szCs w:val="24"/>
          <w:highlight w:val="none"/>
        </w:rPr>
      </w:pPr>
      <w:r>
        <w:rPr>
          <w:rFonts w:hint="eastAsia"/>
          <w:b/>
          <w:bCs/>
          <w:sz w:val="24"/>
          <w:szCs w:val="24"/>
          <w:highlight w:val="none"/>
          <w:lang w:val="en-US" w:eastAsia="zh-CN"/>
        </w:rPr>
        <w:t>1、</w:t>
      </w:r>
      <w:r>
        <w:rPr>
          <w:rFonts w:hint="eastAsia"/>
          <w:b/>
          <w:bCs/>
          <w:sz w:val="24"/>
          <w:szCs w:val="24"/>
          <w:highlight w:val="none"/>
        </w:rPr>
        <w:t>编写原则</w:t>
      </w:r>
    </w:p>
    <w:p>
      <w:pPr>
        <w:spacing w:line="360" w:lineRule="auto"/>
        <w:ind w:firstLine="570"/>
        <w:rPr>
          <w:rFonts w:hint="eastAsia"/>
          <w:sz w:val="24"/>
          <w:szCs w:val="24"/>
          <w:highlight w:val="none"/>
        </w:rPr>
      </w:pPr>
      <w:r>
        <w:rPr>
          <w:rFonts w:hint="eastAsia"/>
          <w:sz w:val="24"/>
          <w:szCs w:val="24"/>
          <w:highlight w:val="none"/>
        </w:rPr>
        <w:t>本规范为首次制定，制定过程中严格按照JJF 1071《国家计量校准规范编写规则》、JJF 1001《通用计量术语及定义》、JJF 1059.1《测量不确定度评定与表示》进行编制，并与相关标准协调统一。</w:t>
      </w:r>
    </w:p>
    <w:p>
      <w:pPr>
        <w:spacing w:line="360" w:lineRule="auto"/>
        <w:rPr>
          <w:rFonts w:hint="eastAsia"/>
          <w:b/>
          <w:bCs/>
          <w:sz w:val="24"/>
          <w:szCs w:val="24"/>
          <w:highlight w:val="none"/>
        </w:rPr>
      </w:pPr>
      <w:r>
        <w:rPr>
          <w:rFonts w:hint="eastAsia"/>
          <w:b/>
          <w:bCs/>
          <w:sz w:val="24"/>
          <w:szCs w:val="24"/>
          <w:highlight w:val="none"/>
          <w:lang w:val="en-US" w:eastAsia="zh-CN"/>
        </w:rPr>
        <w:t>2、</w:t>
      </w:r>
      <w:r>
        <w:rPr>
          <w:rFonts w:hint="eastAsia"/>
          <w:b/>
          <w:bCs/>
          <w:sz w:val="24"/>
          <w:szCs w:val="24"/>
          <w:highlight w:val="none"/>
        </w:rPr>
        <w:t>主要内容</w:t>
      </w:r>
    </w:p>
    <w:p>
      <w:pPr>
        <w:spacing w:line="360" w:lineRule="auto"/>
        <w:ind w:firstLine="570"/>
        <w:rPr>
          <w:rFonts w:hint="eastAsia"/>
          <w:sz w:val="24"/>
          <w:szCs w:val="24"/>
          <w:highlight w:val="none"/>
        </w:rPr>
      </w:pPr>
      <w:r>
        <w:rPr>
          <w:rFonts w:hint="eastAsia"/>
          <w:sz w:val="24"/>
          <w:szCs w:val="24"/>
          <w:highlight w:val="none"/>
        </w:rPr>
        <w:t>按照国家计量校准规范编制要求，本规范内容结构上共分为九章，分别是第一章范围、第二章引用文件、第三章术语和计量单位、第四章概述、第五章计量特性、第六章校准条件、第七章校准项目和校准方法、第八章校准结果表达及第九章复校时间间隔</w:t>
      </w:r>
      <w:r>
        <w:rPr>
          <w:rFonts w:hint="eastAsia"/>
          <w:sz w:val="24"/>
          <w:szCs w:val="24"/>
          <w:highlight w:val="none"/>
          <w:lang w:eastAsia="zh-CN"/>
        </w:rPr>
        <w:t>、</w:t>
      </w:r>
      <w:r>
        <w:rPr>
          <w:rFonts w:hint="eastAsia"/>
          <w:sz w:val="24"/>
          <w:szCs w:val="24"/>
          <w:highlight w:val="none"/>
        </w:rPr>
        <w:t xml:space="preserve">附录A </w:t>
      </w:r>
      <w:r>
        <w:rPr>
          <w:rFonts w:hint="eastAsia"/>
          <w:sz w:val="24"/>
          <w:szCs w:val="24"/>
          <w:highlight w:val="none"/>
          <w:lang w:eastAsia="zh-CN"/>
        </w:rPr>
        <w:t>电场测量仪</w:t>
      </w:r>
      <w:r>
        <w:rPr>
          <w:rFonts w:hint="eastAsia"/>
          <w:sz w:val="24"/>
          <w:szCs w:val="24"/>
          <w:highlight w:val="none"/>
        </w:rPr>
        <w:t>校准不确定度评定示例</w:t>
      </w:r>
      <w:r>
        <w:rPr>
          <w:rFonts w:hint="eastAsia"/>
          <w:sz w:val="24"/>
          <w:szCs w:val="24"/>
          <w:highlight w:val="none"/>
          <w:lang w:eastAsia="zh-CN"/>
        </w:rPr>
        <w:t>、</w:t>
      </w:r>
      <w:r>
        <w:rPr>
          <w:rFonts w:hint="eastAsia"/>
          <w:sz w:val="24"/>
          <w:szCs w:val="24"/>
          <w:highlight w:val="none"/>
        </w:rPr>
        <w:t>附录B 校准原始记录格式</w:t>
      </w:r>
      <w:r>
        <w:rPr>
          <w:rFonts w:hint="eastAsia"/>
          <w:sz w:val="24"/>
          <w:szCs w:val="24"/>
          <w:highlight w:val="none"/>
          <w:lang w:eastAsia="zh-CN"/>
        </w:rPr>
        <w:t>、</w:t>
      </w:r>
      <w:r>
        <w:rPr>
          <w:rFonts w:hint="eastAsia"/>
          <w:sz w:val="24"/>
          <w:szCs w:val="24"/>
          <w:highlight w:val="none"/>
        </w:rPr>
        <w:t>附录C 校准证书内页格式</w:t>
      </w:r>
      <w:r>
        <w:rPr>
          <w:rFonts w:hint="eastAsia"/>
          <w:sz w:val="24"/>
          <w:szCs w:val="24"/>
          <w:highlight w:val="none"/>
          <w:lang w:eastAsia="zh-CN"/>
        </w:rPr>
        <w:t>、</w:t>
      </w:r>
      <w:r>
        <w:rPr>
          <w:rFonts w:hint="eastAsia"/>
          <w:sz w:val="24"/>
          <w:szCs w:val="24"/>
          <w:highlight w:val="none"/>
        </w:rPr>
        <w:t>附录</w:t>
      </w:r>
      <w:r>
        <w:rPr>
          <w:rFonts w:hint="eastAsia"/>
          <w:sz w:val="24"/>
          <w:szCs w:val="24"/>
          <w:highlight w:val="none"/>
          <w:lang w:val="en-US" w:eastAsia="zh-CN"/>
        </w:rPr>
        <w:t>D平行板电场装置结构、尺寸及其他要求</w:t>
      </w:r>
      <w:r>
        <w:rPr>
          <w:rFonts w:hint="eastAsia"/>
          <w:sz w:val="24"/>
          <w:szCs w:val="24"/>
          <w:highlight w:val="none"/>
        </w:rPr>
        <w:t>。</w:t>
      </w:r>
    </w:p>
    <w:p>
      <w:pPr>
        <w:spacing w:line="360" w:lineRule="auto"/>
        <w:rPr>
          <w:rFonts w:hint="eastAsia" w:ascii="宋体" w:hAnsi="宋体"/>
          <w:b/>
          <w:sz w:val="28"/>
          <w:szCs w:val="28"/>
          <w:highlight w:val="none"/>
        </w:rPr>
      </w:pPr>
      <w:r>
        <w:rPr>
          <w:rFonts w:hint="eastAsia" w:ascii="宋体" w:hAnsi="宋体"/>
          <w:b/>
          <w:sz w:val="28"/>
          <w:szCs w:val="28"/>
          <w:highlight w:val="none"/>
          <w:lang w:eastAsia="zh-CN"/>
        </w:rPr>
        <w:t>五、</w:t>
      </w:r>
      <w:r>
        <w:rPr>
          <w:rFonts w:hint="eastAsia" w:ascii="宋体" w:hAnsi="宋体"/>
          <w:b/>
          <w:sz w:val="28"/>
          <w:szCs w:val="28"/>
          <w:highlight w:val="none"/>
        </w:rPr>
        <w:t>编制说明</w:t>
      </w:r>
    </w:p>
    <w:p>
      <w:pPr>
        <w:spacing w:line="360" w:lineRule="auto"/>
        <w:rPr>
          <w:rFonts w:hint="eastAsia"/>
          <w:b/>
          <w:bCs/>
          <w:sz w:val="24"/>
          <w:szCs w:val="24"/>
          <w:highlight w:val="none"/>
        </w:rPr>
      </w:pPr>
      <w:r>
        <w:rPr>
          <w:rFonts w:hint="eastAsia"/>
          <w:b/>
          <w:bCs/>
          <w:sz w:val="24"/>
          <w:szCs w:val="24"/>
          <w:highlight w:val="none"/>
          <w:lang w:val="en-US" w:eastAsia="zh-CN"/>
        </w:rPr>
        <w:t>1、</w:t>
      </w:r>
      <w:r>
        <w:rPr>
          <w:rFonts w:hint="eastAsia"/>
          <w:b/>
          <w:bCs/>
          <w:sz w:val="24"/>
          <w:szCs w:val="24"/>
          <w:highlight w:val="none"/>
        </w:rPr>
        <w:t>调研和编制情况</w:t>
      </w:r>
    </w:p>
    <w:p>
      <w:pPr>
        <w:spacing w:line="360" w:lineRule="auto"/>
        <w:ind w:firstLine="510"/>
        <w:rPr>
          <w:rFonts w:hint="eastAsia"/>
          <w:sz w:val="24"/>
          <w:szCs w:val="24"/>
          <w:highlight w:val="none"/>
        </w:rPr>
      </w:pPr>
      <w:r>
        <w:rPr>
          <w:rFonts w:hint="eastAsia"/>
          <w:sz w:val="24"/>
          <w:szCs w:val="24"/>
          <w:highlight w:val="none"/>
        </w:rPr>
        <w:t>根据任务需求，规范编写组调研了国内外生产的各种</w:t>
      </w:r>
      <w:r>
        <w:rPr>
          <w:rFonts w:hint="eastAsia"/>
          <w:sz w:val="24"/>
          <w:szCs w:val="24"/>
          <w:highlight w:val="none"/>
          <w:lang w:eastAsia="zh-CN"/>
        </w:rPr>
        <w:t>低频电场测量仪</w:t>
      </w:r>
      <w:r>
        <w:rPr>
          <w:rFonts w:hint="eastAsia"/>
          <w:sz w:val="24"/>
          <w:szCs w:val="24"/>
          <w:highlight w:val="none"/>
        </w:rPr>
        <w:t>的技术性能和使用情况，对国内开展</w:t>
      </w:r>
      <w:r>
        <w:rPr>
          <w:rFonts w:hint="eastAsia"/>
          <w:sz w:val="24"/>
          <w:szCs w:val="24"/>
          <w:highlight w:val="none"/>
          <w:lang w:eastAsia="zh-CN"/>
        </w:rPr>
        <w:t>低频电场测量仪</w:t>
      </w:r>
      <w:r>
        <w:rPr>
          <w:rFonts w:hint="eastAsia"/>
          <w:sz w:val="24"/>
          <w:szCs w:val="24"/>
          <w:highlight w:val="none"/>
        </w:rPr>
        <w:t>校准的主要技术机构进行了相关技术调研，查阅了相关文献资料，</w:t>
      </w:r>
      <w:r>
        <w:rPr>
          <w:rFonts w:hint="eastAsia"/>
          <w:sz w:val="24"/>
          <w:szCs w:val="24"/>
          <w:highlight w:val="none"/>
          <w:lang w:eastAsia="zh-CN"/>
        </w:rPr>
        <w:t>与生产厂家</w:t>
      </w:r>
      <w:r>
        <w:rPr>
          <w:rFonts w:hint="eastAsia"/>
          <w:sz w:val="24"/>
          <w:szCs w:val="24"/>
          <w:highlight w:val="none"/>
        </w:rPr>
        <w:t>进行了咨询和讨论，梳理了</w:t>
      </w:r>
      <w:r>
        <w:rPr>
          <w:rFonts w:hint="eastAsia"/>
          <w:sz w:val="24"/>
          <w:szCs w:val="24"/>
          <w:highlight w:val="none"/>
          <w:lang w:eastAsia="zh-CN"/>
        </w:rPr>
        <w:t>低频电场测量仪</w:t>
      </w:r>
      <w:r>
        <w:rPr>
          <w:rFonts w:hint="eastAsia"/>
          <w:sz w:val="24"/>
          <w:szCs w:val="24"/>
          <w:highlight w:val="none"/>
        </w:rPr>
        <w:t>的技术指标和校准方法，规定了校准的范围、计量性能要求、校准方法、校准项目、校准结果表达、复校时间间隔等方面的内容。</w:t>
      </w:r>
    </w:p>
    <w:p>
      <w:pPr>
        <w:spacing w:line="360" w:lineRule="auto"/>
        <w:ind w:firstLine="510"/>
        <w:rPr>
          <w:rFonts w:hint="default" w:eastAsia="宋体"/>
          <w:sz w:val="24"/>
          <w:szCs w:val="24"/>
          <w:highlight w:val="none"/>
          <w:lang w:val="en-US" w:eastAsia="zh-CN"/>
        </w:rPr>
      </w:pPr>
      <w:r>
        <w:rPr>
          <w:rFonts w:hint="eastAsia"/>
          <w:sz w:val="24"/>
          <w:szCs w:val="24"/>
          <w:highlight w:val="none"/>
          <w:lang w:eastAsia="zh-CN"/>
        </w:rPr>
        <w:t>国内外主要产品及技术指标如下表</w:t>
      </w:r>
      <w:r>
        <w:rPr>
          <w:rFonts w:hint="eastAsia"/>
          <w:sz w:val="24"/>
          <w:szCs w:val="24"/>
          <w:highlight w:val="none"/>
          <w:lang w:val="en-US" w:eastAsia="zh-CN"/>
        </w:rPr>
        <w:t>2：</w:t>
      </w:r>
    </w:p>
    <w:p>
      <w:pPr>
        <w:jc w:val="center"/>
        <w:rPr>
          <w:rFonts w:hint="eastAsia" w:ascii="宋体" w:hAnsi="宋体" w:cs="宋体"/>
          <w:sz w:val="21"/>
          <w:szCs w:val="21"/>
          <w:lang w:eastAsia="zh-CN"/>
        </w:rPr>
      </w:pPr>
      <w:r>
        <w:rPr>
          <w:rFonts w:hint="eastAsia" w:ascii="宋体" w:hAnsi="宋体" w:cs="宋体"/>
          <w:sz w:val="21"/>
          <w:szCs w:val="21"/>
          <w:lang w:eastAsia="zh-CN"/>
        </w:rPr>
        <w:t>表</w:t>
      </w:r>
      <w:r>
        <w:rPr>
          <w:rFonts w:hint="eastAsia" w:ascii="宋体" w:hAnsi="宋体" w:cs="宋体"/>
          <w:sz w:val="21"/>
          <w:szCs w:val="21"/>
          <w:lang w:val="en-US" w:eastAsia="zh-CN"/>
        </w:rPr>
        <w:t>2</w:t>
      </w:r>
      <w:r>
        <w:rPr>
          <w:rFonts w:hint="eastAsia" w:ascii="宋体" w:hAnsi="宋体" w:cs="宋体"/>
          <w:sz w:val="21"/>
          <w:szCs w:val="21"/>
          <w:lang w:eastAsia="zh-CN"/>
        </w:rPr>
        <w:t xml:space="preserve"> 主要低频电场测量仪的技术指标</w:t>
      </w:r>
    </w:p>
    <w:tbl>
      <w:tblPr>
        <w:tblStyle w:val="5"/>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3075"/>
        <w:gridCol w:w="2242"/>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rPr>
            </w:pPr>
            <w:r>
              <w:rPr>
                <w:rFonts w:hint="eastAsia"/>
                <w:szCs w:val="21"/>
                <w:highlight w:val="none"/>
              </w:rPr>
              <w:t>型号</w:t>
            </w:r>
          </w:p>
        </w:tc>
        <w:tc>
          <w:tcPr>
            <w:tcW w:w="30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rPr>
            </w:pPr>
            <w:r>
              <w:rPr>
                <w:rFonts w:hint="eastAsia"/>
                <w:szCs w:val="21"/>
                <w:highlight w:val="none"/>
              </w:rPr>
              <w:t>生产厂家</w:t>
            </w:r>
          </w:p>
        </w:tc>
        <w:tc>
          <w:tcPr>
            <w:tcW w:w="224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Cs w:val="21"/>
                <w:highlight w:val="none"/>
                <w:lang w:eastAsia="zh-CN"/>
              </w:rPr>
            </w:pPr>
            <w:r>
              <w:rPr>
                <w:rFonts w:hint="eastAsia"/>
                <w:szCs w:val="21"/>
                <w:highlight w:val="none"/>
                <w:lang w:eastAsia="zh-CN"/>
              </w:rPr>
              <w:t>频率范围</w:t>
            </w:r>
          </w:p>
        </w:tc>
        <w:tc>
          <w:tcPr>
            <w:tcW w:w="23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Cs w:val="21"/>
                <w:highlight w:val="none"/>
                <w:lang w:eastAsia="zh-CN"/>
              </w:rPr>
            </w:pPr>
            <w:r>
              <w:rPr>
                <w:rFonts w:hint="eastAsia"/>
                <w:szCs w:val="21"/>
                <w:highlight w:val="none"/>
                <w:lang w:eastAsia="zh-CN"/>
              </w:rPr>
              <w:t>电场强度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Cs w:val="21"/>
                <w:highlight w:val="none"/>
                <w:lang w:val="en-US" w:eastAsia="zh-CN"/>
              </w:rPr>
            </w:pPr>
            <w:r>
              <w:rPr>
                <w:rFonts w:hint="eastAsia"/>
                <w:szCs w:val="21"/>
                <w:highlight w:val="none"/>
                <w:lang w:val="en-US" w:eastAsia="zh-CN"/>
              </w:rPr>
              <w:t>LF-04</w:t>
            </w:r>
          </w:p>
        </w:tc>
        <w:tc>
          <w:tcPr>
            <w:tcW w:w="30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Cs w:val="21"/>
                <w:highlight w:val="none"/>
                <w:lang w:eastAsia="zh-CN"/>
              </w:rPr>
            </w:pPr>
            <w:r>
              <w:rPr>
                <w:rFonts w:hint="eastAsia"/>
                <w:szCs w:val="21"/>
                <w:highlight w:val="none"/>
                <w:lang w:eastAsia="zh-CN"/>
              </w:rPr>
              <w:t>北京森馥科技股份有限公司</w:t>
            </w:r>
          </w:p>
        </w:tc>
        <w:tc>
          <w:tcPr>
            <w:tcW w:w="224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Cs w:val="21"/>
                <w:highlight w:val="none"/>
                <w:lang w:val="en-US" w:eastAsia="zh-CN"/>
              </w:rPr>
            </w:pPr>
            <w:r>
              <w:rPr>
                <w:rFonts w:hint="eastAsia"/>
                <w:szCs w:val="21"/>
                <w:highlight w:val="none"/>
                <w:lang w:val="en-US" w:eastAsia="zh-CN"/>
              </w:rPr>
              <w:t>1Hz～400kHz</w:t>
            </w:r>
          </w:p>
        </w:tc>
        <w:tc>
          <w:tcPr>
            <w:tcW w:w="23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rPr>
            </w:pPr>
            <w:r>
              <w:rPr>
                <w:rFonts w:hint="eastAsia"/>
                <w:szCs w:val="21"/>
                <w:highlight w:val="none"/>
                <w:lang w:val="en-US" w:eastAsia="zh-CN"/>
              </w:rPr>
              <w:t>5mV/m~100kV/m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Cs w:val="21"/>
                <w:highlight w:val="none"/>
                <w:lang w:val="en-US" w:eastAsia="zh-CN"/>
              </w:rPr>
            </w:pPr>
            <w:r>
              <w:rPr>
                <w:rFonts w:hint="eastAsia"/>
                <w:szCs w:val="21"/>
                <w:highlight w:val="none"/>
                <w:lang w:val="en-US" w:eastAsia="zh-CN"/>
              </w:rPr>
              <w:t>RJ-5</w:t>
            </w:r>
          </w:p>
        </w:tc>
        <w:tc>
          <w:tcPr>
            <w:tcW w:w="30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rPr>
            </w:pPr>
            <w:r>
              <w:rPr>
                <w:rFonts w:hint="eastAsia"/>
                <w:szCs w:val="21"/>
                <w:highlight w:val="none"/>
                <w:lang w:eastAsia="zh-CN"/>
              </w:rPr>
              <w:t>建德市梅城高频电磁仪器厂</w:t>
            </w:r>
          </w:p>
        </w:tc>
        <w:tc>
          <w:tcPr>
            <w:tcW w:w="224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Cs w:val="21"/>
                <w:highlight w:val="none"/>
                <w:lang w:val="en-US" w:eastAsia="zh-CN"/>
              </w:rPr>
            </w:pPr>
            <w:r>
              <w:rPr>
                <w:rFonts w:hint="eastAsia"/>
                <w:szCs w:val="21"/>
                <w:highlight w:val="none"/>
                <w:lang w:val="en-US" w:eastAsia="zh-CN"/>
              </w:rPr>
              <w:t>30Hz～2kHz</w:t>
            </w:r>
          </w:p>
        </w:tc>
        <w:tc>
          <w:tcPr>
            <w:tcW w:w="23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rPr>
            </w:pPr>
            <w:r>
              <w:rPr>
                <w:rFonts w:hint="eastAsia"/>
                <w:szCs w:val="21"/>
                <w:highlight w:val="none"/>
                <w:lang w:val="en-US" w:eastAsia="zh-CN"/>
              </w:rPr>
              <w:t>1V/m~20kV/m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Cs w:val="21"/>
                <w:highlight w:val="none"/>
                <w:lang w:val="en-US" w:eastAsia="zh-CN"/>
              </w:rPr>
            </w:pPr>
            <w:r>
              <w:rPr>
                <w:rFonts w:hint="eastAsia"/>
                <w:szCs w:val="21"/>
                <w:highlight w:val="none"/>
                <w:lang w:val="en-US" w:eastAsia="zh-CN"/>
              </w:rPr>
              <w:t>EHP-50F</w:t>
            </w:r>
          </w:p>
        </w:tc>
        <w:tc>
          <w:tcPr>
            <w:tcW w:w="30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Cs w:val="21"/>
                <w:highlight w:val="none"/>
                <w:lang w:val="en-US" w:eastAsia="zh-CN"/>
              </w:rPr>
            </w:pPr>
            <w:r>
              <w:rPr>
                <w:rFonts w:hint="eastAsia"/>
                <w:szCs w:val="21"/>
                <w:highlight w:val="none"/>
                <w:lang w:val="en-US" w:eastAsia="zh-CN"/>
              </w:rPr>
              <w:t>德国Narda</w:t>
            </w:r>
          </w:p>
        </w:tc>
        <w:tc>
          <w:tcPr>
            <w:tcW w:w="224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rPr>
            </w:pPr>
            <w:r>
              <w:rPr>
                <w:rFonts w:hint="eastAsia"/>
                <w:szCs w:val="21"/>
                <w:highlight w:val="none"/>
                <w:lang w:val="en-US" w:eastAsia="zh-CN"/>
              </w:rPr>
              <w:t>1Hz～400kHz</w:t>
            </w:r>
          </w:p>
        </w:tc>
        <w:tc>
          <w:tcPr>
            <w:tcW w:w="23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rPr>
            </w:pPr>
            <w:r>
              <w:rPr>
                <w:rFonts w:hint="eastAsia"/>
                <w:szCs w:val="21"/>
                <w:highlight w:val="none"/>
                <w:lang w:val="en-US" w:eastAsia="zh-CN"/>
              </w:rPr>
              <w:t>5mV/m~100kV/m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Cs w:val="21"/>
                <w:highlight w:val="none"/>
                <w:lang w:val="en-US" w:eastAsia="zh-CN"/>
              </w:rPr>
            </w:pPr>
            <w:r>
              <w:rPr>
                <w:rFonts w:hint="eastAsia"/>
                <w:szCs w:val="21"/>
                <w:highlight w:val="none"/>
                <w:lang w:val="en-US" w:eastAsia="zh-CN"/>
              </w:rPr>
              <w:t>WP400</w:t>
            </w:r>
          </w:p>
        </w:tc>
        <w:tc>
          <w:tcPr>
            <w:tcW w:w="30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Cs w:val="21"/>
                <w:highlight w:val="none"/>
                <w:lang w:val="en-US" w:eastAsia="zh-CN"/>
              </w:rPr>
            </w:pPr>
            <w:r>
              <w:rPr>
                <w:rFonts w:hint="eastAsia"/>
                <w:szCs w:val="21"/>
                <w:highlight w:val="none"/>
                <w:lang w:val="en-US" w:eastAsia="zh-CN"/>
              </w:rPr>
              <w:t>西班牙WAVECONTROL</w:t>
            </w:r>
          </w:p>
        </w:tc>
        <w:tc>
          <w:tcPr>
            <w:tcW w:w="224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lang w:val="en-US" w:eastAsia="zh-CN"/>
              </w:rPr>
            </w:pPr>
            <w:r>
              <w:rPr>
                <w:rFonts w:hint="eastAsia"/>
                <w:szCs w:val="21"/>
                <w:highlight w:val="none"/>
                <w:lang w:val="en-US" w:eastAsia="zh-CN"/>
              </w:rPr>
              <w:t>1Hz～400kHz</w:t>
            </w:r>
          </w:p>
        </w:tc>
        <w:tc>
          <w:tcPr>
            <w:tcW w:w="23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highlight w:val="none"/>
                <w:lang w:val="en-US" w:eastAsia="zh-CN"/>
              </w:rPr>
            </w:pPr>
            <w:r>
              <w:rPr>
                <w:rFonts w:hint="eastAsia"/>
                <w:szCs w:val="21"/>
                <w:highlight w:val="none"/>
                <w:lang w:val="en-US" w:eastAsia="zh-CN"/>
              </w:rPr>
              <w:t>1V/m~100kV/m</w:t>
            </w:r>
          </w:p>
        </w:tc>
      </w:tr>
    </w:tbl>
    <w:p>
      <w:pPr>
        <w:spacing w:line="360" w:lineRule="auto"/>
        <w:ind w:firstLine="480" w:firstLineChars="200"/>
        <w:rPr>
          <w:rFonts w:hint="eastAsia"/>
          <w:sz w:val="24"/>
          <w:szCs w:val="24"/>
          <w:highlight w:val="none"/>
          <w:lang w:val="en-US" w:eastAsia="zh-CN"/>
        </w:rPr>
      </w:pPr>
      <w:r>
        <w:rPr>
          <w:rFonts w:hint="eastAsia"/>
          <w:sz w:val="24"/>
          <w:szCs w:val="24"/>
          <w:highlight w:val="none"/>
          <w:lang w:eastAsia="zh-CN"/>
        </w:rPr>
        <w:t>从上表可知，市面上主要的低频电场测量仪的计量特性主要是不同频率下的电场强度。本次制定的低频电场测量仪的计量特性的频率范围为</w:t>
      </w:r>
      <w:r>
        <w:rPr>
          <w:rFonts w:hint="eastAsia"/>
          <w:sz w:val="24"/>
          <w:szCs w:val="24"/>
          <w:highlight w:val="none"/>
          <w:lang w:val="en-US" w:eastAsia="zh-CN"/>
        </w:rPr>
        <w:t>1Hz～100kHz，电场强度测量范围1V/m～100kV/m。</w:t>
      </w:r>
      <w:r>
        <w:rPr>
          <w:rFonts w:hint="eastAsia"/>
          <w:sz w:val="24"/>
          <w:szCs w:val="24"/>
          <w:highlight w:val="none"/>
          <w:lang w:eastAsia="zh-CN"/>
        </w:rPr>
        <w:t>现已发布有《JJF 1884-2020 10kHz～100MHz电磁场探头校准规范》，两个规范在</w:t>
      </w:r>
      <w:r>
        <w:rPr>
          <w:rFonts w:hint="eastAsia"/>
          <w:sz w:val="24"/>
          <w:szCs w:val="24"/>
          <w:highlight w:val="none"/>
          <w:lang w:val="en-US" w:eastAsia="zh-CN"/>
        </w:rPr>
        <w:t>10kHz～100kHz频段重叠，但有以下区别：</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1）两个规范校准对象传感器结构不同。《低频电场测量仪校准规范》校准对象为悬浮体型电场测量仪，其传感器通过测量引入到被测电场的一个孤立导体的两部分之间的感应电流和感应电荷来确定电场强度的大小，类似于电容结构；《JJF 1884-2020 10kHz～100MHz电磁场探头校准规范》校准对象的场传感器测量空间中某一位置的场分量，将射频信号转换为等比例的直流或低频交流信号，其结构由三个互相正交的偶极子天线组成。</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（2）将同一低频电场测量仪分别放入平行板电场装置和横电磁波室（TEM）中进行10kHz～100kHz频段测试，测试结果分别如下：</w:t>
      </w:r>
    </w:p>
    <w:p>
      <w:pPr>
        <w:jc w:val="center"/>
        <w:rPr>
          <w:rFonts w:hint="eastAsia" w:ascii="宋体" w:hAnsi="宋体" w:cs="宋体"/>
          <w:sz w:val="21"/>
          <w:szCs w:val="21"/>
          <w:lang w:eastAsia="zh-CN"/>
        </w:rPr>
      </w:pPr>
      <w:r>
        <w:rPr>
          <w:rFonts w:hint="eastAsia" w:ascii="宋体" w:hAnsi="宋体" w:cs="宋体"/>
          <w:sz w:val="21"/>
          <w:szCs w:val="21"/>
          <w:lang w:eastAsia="zh-CN"/>
        </w:rPr>
        <w:t>表</w:t>
      </w:r>
      <w:r>
        <w:rPr>
          <w:rFonts w:hint="eastAsia" w:ascii="宋体" w:hAnsi="宋体" w:cs="宋体"/>
          <w:sz w:val="21"/>
          <w:szCs w:val="21"/>
          <w:lang w:val="en-US" w:eastAsia="zh-CN"/>
        </w:rPr>
        <w:t>3 在</w:t>
      </w:r>
      <w:r>
        <w:rPr>
          <w:rFonts w:hint="eastAsia" w:ascii="宋体" w:hAnsi="宋体" w:cs="宋体"/>
          <w:sz w:val="21"/>
          <w:szCs w:val="21"/>
          <w:lang w:eastAsia="zh-CN"/>
        </w:rPr>
        <w:t>平行板电场装置中进行测试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eastAsia"/>
                <w:highlight w:val="none"/>
                <w:vertAlign w:val="baseline"/>
                <w:lang w:eastAsia="zh-CN"/>
              </w:rPr>
            </w:pPr>
            <w:r>
              <w:rPr>
                <w:rFonts w:hint="eastAsia"/>
                <w:highlight w:val="none"/>
                <w:vertAlign w:val="baseline"/>
                <w:lang w:eastAsia="zh-CN"/>
              </w:rPr>
              <w:t>设定频率</w:t>
            </w:r>
          </w:p>
          <w:p>
            <w:pPr>
              <w:rPr>
                <w:rFonts w:hint="eastAsia"/>
                <w:highlight w:val="none"/>
                <w:vertAlign w:val="baseline"/>
                <w:lang w:eastAsia="zh-CN"/>
              </w:rPr>
            </w:pPr>
            <w:r>
              <w:rPr>
                <w:rFonts w:hint="eastAsia"/>
                <w:highlight w:val="none"/>
                <w:vertAlign w:val="baseline"/>
                <w:lang w:eastAsia="zh-CN"/>
              </w:rPr>
              <w:t>（</w:t>
            </w:r>
            <w:r>
              <w:rPr>
                <w:rFonts w:hint="eastAsia"/>
                <w:highlight w:val="none"/>
                <w:vertAlign w:val="baseline"/>
                <w:lang w:val="en-US" w:eastAsia="zh-CN"/>
              </w:rPr>
              <w:t>Hz</w:t>
            </w:r>
            <w:r>
              <w:rPr>
                <w:rFonts w:hint="eastAsia"/>
                <w:highlight w:val="none"/>
                <w:vertAlign w:val="baseline"/>
                <w:lang w:eastAsia="zh-CN"/>
              </w:rPr>
              <w:t>）</w:t>
            </w:r>
          </w:p>
        </w:tc>
        <w:tc>
          <w:tcPr>
            <w:tcW w:w="1217" w:type="dxa"/>
          </w:tcPr>
          <w:p>
            <w:pPr>
              <w:rPr>
                <w:rFonts w:hint="default"/>
                <w:highlight w:val="none"/>
                <w:vertAlign w:val="baseline"/>
                <w:lang w:val="en-US" w:eastAsia="zh-CN"/>
              </w:rPr>
            </w:pPr>
            <w:r>
              <w:rPr>
                <w:rFonts w:hint="eastAsia"/>
                <w:highlight w:val="none"/>
                <w:vertAlign w:val="baseline"/>
                <w:lang w:eastAsia="zh-CN"/>
              </w:rPr>
              <w:t>数表示值</w:t>
            </w:r>
            <w:r>
              <w:rPr>
                <w:rFonts w:hint="eastAsia"/>
                <w:highlight w:val="none"/>
                <w:vertAlign w:val="baseline"/>
                <w:lang w:val="en-US" w:eastAsia="zh-CN"/>
              </w:rPr>
              <w:t>(V)</w:t>
            </w:r>
          </w:p>
        </w:tc>
        <w:tc>
          <w:tcPr>
            <w:tcW w:w="1217" w:type="dxa"/>
          </w:tcPr>
          <w:p>
            <w:pPr>
              <w:rPr>
                <w:rFonts w:hint="default"/>
                <w:highlight w:val="none"/>
                <w:vertAlign w:val="baseline"/>
                <w:lang w:val="en-US" w:eastAsia="zh-CN"/>
              </w:rPr>
            </w:pPr>
            <w:r>
              <w:rPr>
                <w:rFonts w:hint="eastAsia"/>
                <w:highlight w:val="none"/>
                <w:vertAlign w:val="baseline"/>
                <w:lang w:eastAsia="zh-CN"/>
              </w:rPr>
              <w:t>平板间距</w:t>
            </w:r>
            <w:r>
              <w:rPr>
                <w:rFonts w:hint="eastAsia"/>
                <w:highlight w:val="none"/>
                <w:vertAlign w:val="baseline"/>
                <w:lang w:val="en-US" w:eastAsia="zh-CN"/>
              </w:rPr>
              <w:t>(m)</w:t>
            </w:r>
          </w:p>
        </w:tc>
        <w:tc>
          <w:tcPr>
            <w:tcW w:w="1217" w:type="dxa"/>
          </w:tcPr>
          <w:p>
            <w:pPr>
              <w:rPr>
                <w:rFonts w:hint="default"/>
                <w:highlight w:val="none"/>
                <w:vertAlign w:val="baseline"/>
                <w:lang w:val="en-US" w:eastAsia="zh-CN"/>
              </w:rPr>
            </w:pPr>
            <w:r>
              <w:rPr>
                <w:rFonts w:hint="eastAsia"/>
                <w:highlight w:val="none"/>
                <w:vertAlign w:val="baseline"/>
                <w:lang w:eastAsia="zh-CN"/>
              </w:rPr>
              <w:t>设定场强</w:t>
            </w:r>
            <w:r>
              <w:rPr>
                <w:rFonts w:hint="eastAsia"/>
                <w:highlight w:val="none"/>
                <w:vertAlign w:val="baseline"/>
                <w:lang w:val="en-US" w:eastAsia="zh-CN"/>
              </w:rPr>
              <w:t>(V/m)</w:t>
            </w:r>
          </w:p>
        </w:tc>
        <w:tc>
          <w:tcPr>
            <w:tcW w:w="1217" w:type="dxa"/>
          </w:tcPr>
          <w:p>
            <w:pPr>
              <w:rPr>
                <w:rFonts w:hint="eastAsia"/>
                <w:highlight w:val="none"/>
                <w:vertAlign w:val="baseline"/>
                <w:lang w:eastAsia="zh-CN"/>
              </w:rPr>
            </w:pPr>
            <w:r>
              <w:rPr>
                <w:rFonts w:hint="eastAsia"/>
                <w:highlight w:val="none"/>
                <w:vertAlign w:val="baseline"/>
                <w:lang w:eastAsia="zh-CN"/>
              </w:rPr>
              <w:t>仪表示值</w:t>
            </w:r>
            <w:r>
              <w:rPr>
                <w:rFonts w:hint="eastAsia"/>
                <w:highlight w:val="none"/>
                <w:vertAlign w:val="baseline"/>
                <w:lang w:val="en-US" w:eastAsia="zh-CN"/>
              </w:rPr>
              <w:t>(V/m)</w:t>
            </w:r>
          </w:p>
        </w:tc>
        <w:tc>
          <w:tcPr>
            <w:tcW w:w="1217" w:type="dxa"/>
          </w:tcPr>
          <w:p>
            <w:pPr>
              <w:rPr>
                <w:rFonts w:hint="eastAsia"/>
                <w:highlight w:val="none"/>
                <w:vertAlign w:val="baseline"/>
                <w:lang w:eastAsia="zh-CN"/>
              </w:rPr>
            </w:pPr>
            <w:r>
              <w:rPr>
                <w:rFonts w:hint="eastAsia"/>
                <w:highlight w:val="none"/>
                <w:vertAlign w:val="baseline"/>
                <w:lang w:eastAsia="zh-CN"/>
              </w:rPr>
              <w:t>误差</w:t>
            </w:r>
          </w:p>
        </w:tc>
        <w:tc>
          <w:tcPr>
            <w:tcW w:w="1217" w:type="dxa"/>
          </w:tcPr>
          <w:p>
            <w:pPr>
              <w:rPr>
                <w:rFonts w:hint="eastAsia"/>
                <w:highlight w:val="none"/>
                <w:vertAlign w:val="baseline"/>
                <w:lang w:eastAsia="zh-CN"/>
              </w:rPr>
            </w:pPr>
            <w:r>
              <w:rPr>
                <w:rFonts w:hint="eastAsia"/>
                <w:highlight w:val="none"/>
                <w:vertAlign w:val="baseline"/>
                <w:lang w:eastAsia="zh-CN"/>
              </w:rPr>
              <w:t>不确定度</w:t>
            </w:r>
          </w:p>
          <w:p>
            <w:pPr>
              <w:rPr>
                <w:rFonts w:hint="eastAsia"/>
                <w:highlight w:val="none"/>
                <w:vertAlign w:val="baseline"/>
                <w:lang w:eastAsia="zh-CN"/>
              </w:rPr>
            </w:pPr>
            <w:r>
              <w:rPr>
                <w:rFonts w:hint="eastAsia"/>
                <w:highlight w:val="none"/>
                <w:vertAlign w:val="baseline"/>
                <w:lang w:eastAsia="zh-CN"/>
              </w:rPr>
              <w:t>（</w:t>
            </w:r>
            <w:r>
              <w:rPr>
                <w:rFonts w:hint="eastAsia"/>
                <w:highlight w:val="none"/>
                <w:vertAlign w:val="baseline"/>
                <w:lang w:val="en-US" w:eastAsia="zh-CN"/>
              </w:rPr>
              <w:t>dB</w:t>
            </w:r>
            <w:r>
              <w:rPr>
                <w:rFonts w:hint="eastAsia"/>
                <w:highlight w:val="none"/>
                <w:vertAlign w:val="baseline"/>
                <w:lang w:eastAsia="zh-CN"/>
              </w:rPr>
              <w:t>）</w:t>
            </w:r>
            <w:r>
              <w:rPr>
                <w:rFonts w:hint="eastAsia"/>
                <w:i/>
                <w:iCs/>
                <w:highlight w:val="none"/>
                <w:vertAlign w:val="baseline"/>
                <w:lang w:val="en-US" w:eastAsia="zh-CN"/>
              </w:rPr>
              <w:t>k</w:t>
            </w:r>
            <w:r>
              <w:rPr>
                <w:rFonts w:hint="eastAsia"/>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10k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37.66</w:t>
            </w:r>
          </w:p>
        </w:tc>
        <w:tc>
          <w:tcPr>
            <w:tcW w:w="1217" w:type="dxa"/>
          </w:tcPr>
          <w:p>
            <w:pPr>
              <w:rPr>
                <w:rFonts w:hint="default"/>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49.88 </w:t>
            </w:r>
          </w:p>
        </w:tc>
        <w:tc>
          <w:tcPr>
            <w:tcW w:w="1217" w:type="dxa"/>
          </w:tcPr>
          <w:p>
            <w:pPr>
              <w:rPr>
                <w:rFonts w:hint="default"/>
                <w:highlight w:val="none"/>
                <w:vertAlign w:val="baseline"/>
                <w:lang w:val="en-US" w:eastAsia="zh-CN"/>
              </w:rPr>
            </w:pPr>
            <w:r>
              <w:rPr>
                <w:rFonts w:hint="eastAsia"/>
                <w:highlight w:val="none"/>
                <w:vertAlign w:val="baseline"/>
                <w:lang w:val="en-US" w:eastAsia="zh-CN"/>
              </w:rPr>
              <w:t>49.41</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-0.94% </w:t>
            </w:r>
          </w:p>
        </w:tc>
        <w:tc>
          <w:tcPr>
            <w:tcW w:w="1217" w:type="dxa"/>
            <w:vMerge w:val="restart"/>
            <w:vAlign w:val="center"/>
          </w:tcPr>
          <w:p>
            <w:pPr>
              <w:jc w:val="center"/>
              <w:rPr>
                <w:rFonts w:hint="default"/>
                <w:highlight w:val="none"/>
                <w:vertAlign w:val="baseline"/>
                <w:lang w:val="en-US" w:eastAsia="zh-CN"/>
              </w:rPr>
            </w:pPr>
            <w:r>
              <w:rPr>
                <w:rFonts w:hint="eastAsia"/>
                <w:highlight w:val="none"/>
                <w:vertAlign w:val="baseline"/>
                <w:lang w:val="en-US" w:eastAsia="zh-CN"/>
              </w:rPr>
              <w:t>0.56～0.72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20k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37.50</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49.67 </w:t>
            </w:r>
          </w:p>
        </w:tc>
        <w:tc>
          <w:tcPr>
            <w:tcW w:w="1217" w:type="dxa"/>
          </w:tcPr>
          <w:p>
            <w:pPr>
              <w:rPr>
                <w:rFonts w:hint="default"/>
                <w:highlight w:val="none"/>
                <w:vertAlign w:val="baseline"/>
                <w:lang w:val="en-US" w:eastAsia="zh-CN"/>
              </w:rPr>
            </w:pPr>
            <w:r>
              <w:rPr>
                <w:rFonts w:hint="eastAsia"/>
                <w:highlight w:val="none"/>
                <w:vertAlign w:val="baseline"/>
                <w:lang w:val="en-US" w:eastAsia="zh-CN"/>
              </w:rPr>
              <w:t>49.39</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-0.56%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30k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37.37</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49.50 </w:t>
            </w:r>
          </w:p>
        </w:tc>
        <w:tc>
          <w:tcPr>
            <w:tcW w:w="1217" w:type="dxa"/>
          </w:tcPr>
          <w:p>
            <w:pPr>
              <w:rPr>
                <w:rFonts w:hint="default"/>
                <w:highlight w:val="none"/>
                <w:vertAlign w:val="baseline"/>
                <w:lang w:val="en-US" w:eastAsia="zh-CN"/>
              </w:rPr>
            </w:pPr>
            <w:r>
              <w:rPr>
                <w:rFonts w:hint="eastAsia"/>
                <w:highlight w:val="none"/>
                <w:vertAlign w:val="baseline"/>
                <w:lang w:val="en-US" w:eastAsia="zh-CN"/>
              </w:rPr>
              <w:t>49.27</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-0.46%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40k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37.33</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49.44 </w:t>
            </w:r>
          </w:p>
        </w:tc>
        <w:tc>
          <w:tcPr>
            <w:tcW w:w="1217" w:type="dxa"/>
          </w:tcPr>
          <w:p>
            <w:pPr>
              <w:rPr>
                <w:rFonts w:hint="default"/>
                <w:highlight w:val="none"/>
                <w:vertAlign w:val="baseline"/>
                <w:lang w:val="en-US" w:eastAsia="zh-CN"/>
              </w:rPr>
            </w:pPr>
            <w:r>
              <w:rPr>
                <w:rFonts w:hint="eastAsia"/>
                <w:highlight w:val="none"/>
                <w:vertAlign w:val="baseline"/>
                <w:lang w:val="en-US" w:eastAsia="zh-CN"/>
              </w:rPr>
              <w:t>49.26</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-0.37%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50k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37.33</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49.44 </w:t>
            </w:r>
          </w:p>
        </w:tc>
        <w:tc>
          <w:tcPr>
            <w:tcW w:w="1217" w:type="dxa"/>
          </w:tcPr>
          <w:p>
            <w:pPr>
              <w:rPr>
                <w:rFonts w:hint="default"/>
                <w:highlight w:val="none"/>
                <w:vertAlign w:val="baseline"/>
                <w:lang w:val="en-US" w:eastAsia="zh-CN"/>
              </w:rPr>
            </w:pPr>
            <w:r>
              <w:rPr>
                <w:rFonts w:hint="eastAsia"/>
                <w:highlight w:val="none"/>
                <w:vertAlign w:val="baseline"/>
                <w:lang w:val="en-US" w:eastAsia="zh-CN"/>
              </w:rPr>
              <w:t>49.24</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-0.41%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60k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37.31</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49.42 </w:t>
            </w:r>
          </w:p>
        </w:tc>
        <w:tc>
          <w:tcPr>
            <w:tcW w:w="1217" w:type="dxa"/>
          </w:tcPr>
          <w:p>
            <w:pPr>
              <w:rPr>
                <w:rFonts w:hint="default"/>
                <w:highlight w:val="none"/>
                <w:vertAlign w:val="baseline"/>
                <w:lang w:val="en-US" w:eastAsia="zh-CN"/>
              </w:rPr>
            </w:pPr>
            <w:r>
              <w:rPr>
                <w:rFonts w:hint="eastAsia"/>
                <w:highlight w:val="none"/>
                <w:vertAlign w:val="baseline"/>
                <w:lang w:val="en-US" w:eastAsia="zh-CN"/>
              </w:rPr>
              <w:t>49.54</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0.25%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70k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37.66</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49.88 </w:t>
            </w:r>
          </w:p>
        </w:tc>
        <w:tc>
          <w:tcPr>
            <w:tcW w:w="1217" w:type="dxa"/>
          </w:tcPr>
          <w:p>
            <w:pPr>
              <w:rPr>
                <w:rFonts w:hint="default"/>
                <w:highlight w:val="none"/>
                <w:vertAlign w:val="baseline"/>
                <w:lang w:val="en-US" w:eastAsia="zh-CN"/>
              </w:rPr>
            </w:pPr>
            <w:r>
              <w:rPr>
                <w:rFonts w:hint="eastAsia"/>
                <w:highlight w:val="none"/>
                <w:vertAlign w:val="baseline"/>
                <w:lang w:val="en-US" w:eastAsia="zh-CN"/>
              </w:rPr>
              <w:t>50.33</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0.90%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80k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37.63</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49.84 </w:t>
            </w:r>
          </w:p>
        </w:tc>
        <w:tc>
          <w:tcPr>
            <w:tcW w:w="1217" w:type="dxa"/>
          </w:tcPr>
          <w:p>
            <w:pPr>
              <w:rPr>
                <w:rFonts w:hint="default"/>
                <w:highlight w:val="none"/>
                <w:vertAlign w:val="baseline"/>
                <w:lang w:val="en-US" w:eastAsia="zh-CN"/>
              </w:rPr>
            </w:pPr>
            <w:r>
              <w:rPr>
                <w:rFonts w:hint="eastAsia"/>
                <w:highlight w:val="none"/>
                <w:vertAlign w:val="baseline"/>
                <w:lang w:val="en-US" w:eastAsia="zh-CN"/>
              </w:rPr>
              <w:t>50.16</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0.64%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90k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37.59</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49.79 </w:t>
            </w:r>
          </w:p>
        </w:tc>
        <w:tc>
          <w:tcPr>
            <w:tcW w:w="1217" w:type="dxa"/>
          </w:tcPr>
          <w:p>
            <w:pPr>
              <w:rPr>
                <w:rFonts w:hint="default"/>
                <w:highlight w:val="none"/>
                <w:vertAlign w:val="baseline"/>
                <w:lang w:val="en-US" w:eastAsia="zh-CN"/>
              </w:rPr>
            </w:pPr>
            <w:r>
              <w:rPr>
                <w:rFonts w:hint="eastAsia"/>
                <w:highlight w:val="none"/>
                <w:vertAlign w:val="baseline"/>
                <w:lang w:val="en-US" w:eastAsia="zh-CN"/>
              </w:rPr>
              <w:t>49.94</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0.31% </w:t>
            </w:r>
          </w:p>
        </w:tc>
        <w:tc>
          <w:tcPr>
            <w:tcW w:w="1217"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int="default"/>
                <w:highlight w:val="none"/>
                <w:vertAlign w:val="baseline"/>
                <w:lang w:val="en-US" w:eastAsia="zh-CN"/>
              </w:rPr>
            </w:pPr>
            <w:r>
              <w:rPr>
                <w:rFonts w:hint="eastAsia"/>
                <w:highlight w:val="none"/>
                <w:vertAlign w:val="baseline"/>
                <w:lang w:val="en-US" w:eastAsia="zh-CN"/>
              </w:rPr>
              <w:t>100k</w:t>
            </w:r>
          </w:p>
        </w:tc>
        <w:tc>
          <w:tcPr>
            <w:tcW w:w="1217" w:type="dxa"/>
          </w:tcPr>
          <w:p>
            <w:pPr>
              <w:rPr>
                <w:rFonts w:hint="default"/>
                <w:highlight w:val="none"/>
                <w:vertAlign w:val="baseline"/>
                <w:lang w:val="en-US" w:eastAsia="zh-CN"/>
              </w:rPr>
            </w:pPr>
            <w:r>
              <w:rPr>
                <w:rFonts w:hint="eastAsia"/>
                <w:highlight w:val="none"/>
                <w:vertAlign w:val="baseline"/>
                <w:lang w:val="en-US" w:eastAsia="zh-CN"/>
              </w:rPr>
              <w:t>37.57</w:t>
            </w:r>
          </w:p>
        </w:tc>
        <w:tc>
          <w:tcPr>
            <w:tcW w:w="1217" w:type="dxa"/>
          </w:tcPr>
          <w:p>
            <w:pPr>
              <w:rPr>
                <w:rFonts w:hint="eastAsia"/>
                <w:highlight w:val="none"/>
                <w:vertAlign w:val="baseline"/>
                <w:lang w:val="en-US" w:eastAsia="zh-CN"/>
              </w:rPr>
            </w:pPr>
            <w:r>
              <w:rPr>
                <w:rFonts w:hint="eastAsia"/>
                <w:highlight w:val="none"/>
                <w:vertAlign w:val="baseline"/>
                <w:lang w:val="en-US" w:eastAsia="zh-CN"/>
              </w:rPr>
              <w:t>0.755</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49.76 </w:t>
            </w:r>
          </w:p>
        </w:tc>
        <w:tc>
          <w:tcPr>
            <w:tcW w:w="1217" w:type="dxa"/>
          </w:tcPr>
          <w:p>
            <w:pPr>
              <w:rPr>
                <w:rFonts w:hint="default"/>
                <w:highlight w:val="none"/>
                <w:vertAlign w:val="baseline"/>
                <w:lang w:val="en-US" w:eastAsia="zh-CN"/>
              </w:rPr>
            </w:pPr>
            <w:r>
              <w:rPr>
                <w:rFonts w:hint="eastAsia"/>
                <w:highlight w:val="none"/>
                <w:vertAlign w:val="baseline"/>
                <w:lang w:val="en-US" w:eastAsia="zh-CN"/>
              </w:rPr>
              <w:t>50.09</w:t>
            </w:r>
          </w:p>
        </w:tc>
        <w:tc>
          <w:tcPr>
            <w:tcW w:w="1217"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0.66% </w:t>
            </w:r>
          </w:p>
        </w:tc>
        <w:tc>
          <w:tcPr>
            <w:tcW w:w="1217" w:type="dxa"/>
            <w:vMerge w:val="continue"/>
          </w:tcPr>
          <w:p>
            <w:pPr>
              <w:rPr>
                <w:rFonts w:hint="default"/>
                <w:highlight w:val="none"/>
                <w:vertAlign w:val="baseline"/>
                <w:lang w:val="en-US" w:eastAsia="zh-CN"/>
              </w:rPr>
            </w:pPr>
          </w:p>
        </w:tc>
      </w:tr>
    </w:tbl>
    <w:p>
      <w:pPr>
        <w:jc w:val="center"/>
        <w:rPr>
          <w:rFonts w:hint="eastAsia" w:ascii="宋体" w:hAnsi="宋体" w:cs="宋体"/>
          <w:sz w:val="21"/>
          <w:szCs w:val="21"/>
          <w:lang w:val="en-US" w:eastAsia="zh-CN"/>
        </w:rPr>
      </w:pPr>
    </w:p>
    <w:p>
      <w:pPr>
        <w:jc w:val="center"/>
        <w:rPr>
          <w:rFonts w:hint="eastAsia" w:ascii="宋体" w:hAnsi="宋体" w:cs="宋体"/>
          <w:sz w:val="21"/>
          <w:szCs w:val="21"/>
          <w:lang w:val="en-US" w:eastAsia="zh-CN"/>
        </w:rPr>
      </w:pPr>
      <w:r>
        <w:rPr>
          <w:rFonts w:hint="eastAsia" w:ascii="宋体" w:hAnsi="宋体" w:cs="宋体"/>
          <w:sz w:val="21"/>
          <w:szCs w:val="21"/>
          <w:lang w:eastAsia="zh-CN"/>
        </w:rPr>
        <w:t>表</w:t>
      </w:r>
      <w:r>
        <w:rPr>
          <w:rFonts w:hint="eastAsia" w:ascii="宋体" w:hAnsi="宋体" w:cs="宋体"/>
          <w:sz w:val="21"/>
          <w:szCs w:val="21"/>
          <w:lang w:val="en-US" w:eastAsia="zh-CN"/>
        </w:rPr>
        <w:t>4  在TEM小室中进行测试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6"/>
        <w:gridCol w:w="946"/>
        <w:gridCol w:w="946"/>
        <w:gridCol w:w="946"/>
        <w:gridCol w:w="946"/>
        <w:gridCol w:w="946"/>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eastAsia"/>
                <w:highlight w:val="none"/>
                <w:vertAlign w:val="baseline"/>
                <w:lang w:eastAsia="zh-CN"/>
              </w:rPr>
            </w:pPr>
            <w:r>
              <w:rPr>
                <w:rFonts w:hint="eastAsia"/>
                <w:highlight w:val="none"/>
                <w:vertAlign w:val="baseline"/>
                <w:lang w:eastAsia="zh-CN"/>
              </w:rPr>
              <w:t>设定频率</w:t>
            </w:r>
          </w:p>
          <w:p>
            <w:pPr>
              <w:rPr>
                <w:rFonts w:hint="eastAsia"/>
                <w:highlight w:val="none"/>
                <w:vertAlign w:val="baseline"/>
                <w:lang w:eastAsia="zh-CN"/>
              </w:rPr>
            </w:pPr>
            <w:r>
              <w:rPr>
                <w:rFonts w:hint="eastAsia"/>
                <w:highlight w:val="none"/>
                <w:vertAlign w:val="baseline"/>
                <w:lang w:eastAsia="zh-CN"/>
              </w:rPr>
              <w:t>（</w:t>
            </w:r>
            <w:r>
              <w:rPr>
                <w:rFonts w:hint="eastAsia"/>
                <w:highlight w:val="none"/>
                <w:vertAlign w:val="baseline"/>
                <w:lang w:val="en-US" w:eastAsia="zh-CN"/>
              </w:rPr>
              <w:t>Hz</w:t>
            </w:r>
            <w:r>
              <w:rPr>
                <w:rFonts w:hint="eastAsia"/>
                <w:highlight w:val="none"/>
                <w:vertAlign w:val="baseline"/>
                <w:lang w:eastAsia="zh-CN"/>
              </w:rPr>
              <w:t>）</w:t>
            </w:r>
          </w:p>
        </w:tc>
        <w:tc>
          <w:tcPr>
            <w:tcW w:w="946" w:type="dxa"/>
          </w:tcPr>
          <w:p>
            <w:pPr>
              <w:rPr>
                <w:rFonts w:hint="default"/>
                <w:highlight w:val="none"/>
                <w:vertAlign w:val="baseline"/>
                <w:lang w:val="en-US" w:eastAsia="zh-CN"/>
              </w:rPr>
            </w:pPr>
            <w:r>
              <w:rPr>
                <w:rFonts w:hint="eastAsia"/>
                <w:highlight w:val="none"/>
                <w:vertAlign w:val="baseline"/>
                <w:lang w:eastAsia="zh-CN"/>
              </w:rPr>
              <w:t>功率计示值</w:t>
            </w:r>
            <w:r>
              <w:rPr>
                <w:rFonts w:hint="eastAsia"/>
                <w:highlight w:val="none"/>
                <w:vertAlign w:val="baseline"/>
                <w:lang w:val="en-US" w:eastAsia="zh-CN"/>
              </w:rPr>
              <w:t>(dBm)</w:t>
            </w:r>
          </w:p>
        </w:tc>
        <w:tc>
          <w:tcPr>
            <w:tcW w:w="946" w:type="dxa"/>
          </w:tcPr>
          <w:p>
            <w:pPr>
              <w:rPr>
                <w:rFonts w:hint="eastAsia"/>
                <w:highlight w:val="none"/>
                <w:vertAlign w:val="baseline"/>
                <w:lang w:eastAsia="zh-CN"/>
              </w:rPr>
            </w:pPr>
            <w:r>
              <w:rPr>
                <w:rFonts w:hint="eastAsia"/>
                <w:highlight w:val="none"/>
                <w:vertAlign w:val="baseline"/>
                <w:lang w:eastAsia="zh-CN"/>
              </w:rPr>
              <w:t>衰减</w:t>
            </w:r>
            <w:r>
              <w:rPr>
                <w:rFonts w:hint="eastAsia"/>
                <w:highlight w:val="none"/>
                <w:vertAlign w:val="baseline"/>
                <w:lang w:val="en-US" w:eastAsia="zh-CN"/>
              </w:rPr>
              <w:t>(dB)</w:t>
            </w:r>
          </w:p>
        </w:tc>
        <w:tc>
          <w:tcPr>
            <w:tcW w:w="946" w:type="dxa"/>
          </w:tcPr>
          <w:p>
            <w:pPr>
              <w:rPr>
                <w:rFonts w:hint="default"/>
                <w:highlight w:val="none"/>
                <w:vertAlign w:val="baseline"/>
                <w:lang w:val="en-US" w:eastAsia="zh-CN"/>
              </w:rPr>
            </w:pPr>
            <w:r>
              <w:rPr>
                <w:rFonts w:hint="eastAsia"/>
                <w:highlight w:val="none"/>
                <w:vertAlign w:val="baseline"/>
                <w:lang w:val="en-US" w:eastAsia="zh-CN"/>
              </w:rPr>
              <w:t>TEM阻抗(</w:t>
            </w:r>
            <w:r>
              <w:rPr>
                <w:rFonts w:hint="default" w:ascii="Calibri" w:hAnsi="Calibri" w:cs="Calibri"/>
                <w:highlight w:val="none"/>
                <w:vertAlign w:val="baseline"/>
                <w:lang w:val="en-US" w:eastAsia="zh-CN"/>
              </w:rPr>
              <w:t>Ω</w:t>
            </w:r>
            <w:r>
              <w:rPr>
                <w:rFonts w:hint="eastAsia"/>
                <w:highlight w:val="none"/>
                <w:vertAlign w:val="baseline"/>
                <w:lang w:val="en-US" w:eastAsia="zh-CN"/>
              </w:rPr>
              <w:t>)</w:t>
            </w:r>
          </w:p>
        </w:tc>
        <w:tc>
          <w:tcPr>
            <w:tcW w:w="946" w:type="dxa"/>
          </w:tcPr>
          <w:p>
            <w:pPr>
              <w:rPr>
                <w:rFonts w:hint="default"/>
                <w:highlight w:val="none"/>
                <w:vertAlign w:val="baseline"/>
                <w:lang w:val="en-US" w:eastAsia="zh-CN"/>
              </w:rPr>
            </w:pPr>
            <w:r>
              <w:rPr>
                <w:rFonts w:hint="eastAsia"/>
                <w:highlight w:val="none"/>
                <w:vertAlign w:val="baseline"/>
                <w:lang w:eastAsia="zh-CN"/>
              </w:rPr>
              <w:t>平板间距</w:t>
            </w:r>
            <w:r>
              <w:rPr>
                <w:rFonts w:hint="eastAsia"/>
                <w:highlight w:val="none"/>
                <w:vertAlign w:val="baseline"/>
                <w:lang w:val="en-US" w:eastAsia="zh-CN"/>
              </w:rPr>
              <w:t>(m)</w:t>
            </w:r>
          </w:p>
        </w:tc>
        <w:tc>
          <w:tcPr>
            <w:tcW w:w="946" w:type="dxa"/>
          </w:tcPr>
          <w:p>
            <w:pPr>
              <w:rPr>
                <w:rFonts w:hint="default"/>
                <w:highlight w:val="none"/>
                <w:vertAlign w:val="baseline"/>
                <w:lang w:val="en-US" w:eastAsia="zh-CN"/>
              </w:rPr>
            </w:pPr>
            <w:r>
              <w:rPr>
                <w:rFonts w:hint="eastAsia"/>
                <w:highlight w:val="none"/>
                <w:vertAlign w:val="baseline"/>
                <w:lang w:eastAsia="zh-CN"/>
              </w:rPr>
              <w:t>设定场强</w:t>
            </w:r>
            <w:r>
              <w:rPr>
                <w:rFonts w:hint="eastAsia"/>
                <w:highlight w:val="none"/>
                <w:vertAlign w:val="baseline"/>
                <w:lang w:val="en-US" w:eastAsia="zh-CN"/>
              </w:rPr>
              <w:t>(V/m)</w:t>
            </w:r>
          </w:p>
        </w:tc>
        <w:tc>
          <w:tcPr>
            <w:tcW w:w="946" w:type="dxa"/>
          </w:tcPr>
          <w:p>
            <w:pPr>
              <w:rPr>
                <w:rFonts w:hint="eastAsia"/>
                <w:highlight w:val="none"/>
                <w:vertAlign w:val="baseline"/>
                <w:lang w:eastAsia="zh-CN"/>
              </w:rPr>
            </w:pPr>
            <w:r>
              <w:rPr>
                <w:rFonts w:hint="eastAsia"/>
                <w:highlight w:val="none"/>
                <w:vertAlign w:val="baseline"/>
                <w:lang w:eastAsia="zh-CN"/>
              </w:rPr>
              <w:t>仪表示值</w:t>
            </w:r>
            <w:r>
              <w:rPr>
                <w:rFonts w:hint="eastAsia"/>
                <w:highlight w:val="none"/>
                <w:vertAlign w:val="baseline"/>
                <w:lang w:val="en-US" w:eastAsia="zh-CN"/>
              </w:rPr>
              <w:t>(V/m)</w:t>
            </w:r>
          </w:p>
        </w:tc>
        <w:tc>
          <w:tcPr>
            <w:tcW w:w="946" w:type="dxa"/>
          </w:tcPr>
          <w:p>
            <w:pPr>
              <w:rPr>
                <w:rFonts w:hint="eastAsia"/>
                <w:highlight w:val="none"/>
                <w:vertAlign w:val="baseline"/>
                <w:lang w:eastAsia="zh-CN"/>
              </w:rPr>
            </w:pPr>
            <w:r>
              <w:rPr>
                <w:rFonts w:hint="eastAsia"/>
                <w:highlight w:val="none"/>
                <w:vertAlign w:val="baseline"/>
                <w:lang w:eastAsia="zh-CN"/>
              </w:rPr>
              <w:t>误差</w:t>
            </w:r>
          </w:p>
        </w:tc>
        <w:tc>
          <w:tcPr>
            <w:tcW w:w="946" w:type="dxa"/>
          </w:tcPr>
          <w:p>
            <w:pPr>
              <w:rPr>
                <w:rFonts w:hint="default"/>
                <w:highlight w:val="none"/>
                <w:vertAlign w:val="baseline"/>
                <w:lang w:val="en-US" w:eastAsia="zh-CN"/>
              </w:rPr>
            </w:pPr>
            <w:r>
              <w:rPr>
                <w:rFonts w:hint="eastAsia"/>
                <w:highlight w:val="none"/>
                <w:vertAlign w:val="baseline"/>
                <w:lang w:eastAsia="zh-CN"/>
              </w:rPr>
              <w:t>不确定度（</w:t>
            </w:r>
            <w:r>
              <w:rPr>
                <w:rFonts w:hint="eastAsia"/>
                <w:highlight w:val="none"/>
                <w:vertAlign w:val="baseline"/>
                <w:lang w:val="en-US" w:eastAsia="zh-CN"/>
              </w:rPr>
              <w:t>dB</w:t>
            </w:r>
            <w:r>
              <w:rPr>
                <w:rFonts w:hint="eastAsia"/>
                <w:highlight w:val="none"/>
                <w:vertAlign w:val="baseline"/>
                <w:lang w:eastAsia="zh-CN"/>
              </w:rPr>
              <w:t>）</w:t>
            </w:r>
            <w:r>
              <w:rPr>
                <w:rFonts w:hint="eastAsia"/>
                <w:i/>
                <w:iCs/>
                <w:highlight w:val="none"/>
                <w:vertAlign w:val="baseline"/>
                <w:lang w:val="en-US" w:eastAsia="zh-CN"/>
              </w:rPr>
              <w:t>k</w:t>
            </w:r>
            <w:r>
              <w:rPr>
                <w:rFonts w:hint="eastAsia"/>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10k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8.40</w:t>
            </w:r>
          </w:p>
        </w:tc>
        <w:tc>
          <w:tcPr>
            <w:tcW w:w="946" w:type="dxa"/>
          </w:tcPr>
          <w:p>
            <w:pPr>
              <w:rPr>
                <w:rFonts w:hint="default"/>
                <w:highlight w:val="none"/>
                <w:vertAlign w:val="baseline"/>
                <w:lang w:val="en-US" w:eastAsia="zh-CN"/>
              </w:rPr>
            </w:pPr>
            <w:r>
              <w:rPr>
                <w:rFonts w:hint="eastAsia"/>
                <w:highlight w:val="none"/>
                <w:vertAlign w:val="baseline"/>
                <w:lang w:val="en-US" w:eastAsia="zh-CN"/>
              </w:rPr>
              <w:t>30.02</w:t>
            </w:r>
          </w:p>
        </w:tc>
        <w:tc>
          <w:tcPr>
            <w:tcW w:w="946" w:type="dxa"/>
          </w:tcPr>
          <w:p>
            <w:pPr>
              <w:rPr>
                <w:rFonts w:hint="default"/>
                <w:highlight w:val="none"/>
                <w:vertAlign w:val="baseline"/>
                <w:lang w:val="en-US" w:eastAsia="zh-CN"/>
              </w:rPr>
            </w:pPr>
            <w:r>
              <w:rPr>
                <w:rFonts w:hint="eastAsia"/>
                <w:highlight w:val="none"/>
                <w:vertAlign w:val="baseline"/>
                <w:lang w:val="en-US" w:eastAsia="zh-CN"/>
              </w:rPr>
              <w:t>49.7</w:t>
            </w:r>
          </w:p>
        </w:tc>
        <w:tc>
          <w:tcPr>
            <w:tcW w:w="946" w:type="dxa"/>
          </w:tcPr>
          <w:p>
            <w:pPr>
              <w:rPr>
                <w:rFonts w:hint="default"/>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50.38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50.52</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0.27% </w:t>
            </w:r>
          </w:p>
        </w:tc>
        <w:tc>
          <w:tcPr>
            <w:tcW w:w="946" w:type="dxa"/>
            <w:vMerge w:val="restart"/>
            <w:vAlign w:val="center"/>
          </w:tcPr>
          <w:p>
            <w:pPr>
              <w:jc w:val="center"/>
              <w:rPr>
                <w:rFonts w:hint="default"/>
                <w:highlight w:val="none"/>
                <w:vertAlign w:val="baseline"/>
                <w:lang w:val="en-US" w:eastAsia="zh-CN"/>
              </w:rPr>
            </w:pPr>
            <w:r>
              <w:rPr>
                <w:rFonts w:hint="eastAsia"/>
                <w:highlight w:val="none"/>
                <w:vertAlign w:val="baseline"/>
                <w:lang w:val="en-US" w:eastAsia="zh-CN"/>
              </w:rPr>
              <w:t>0.78～0.93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20k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8.39</w:t>
            </w:r>
          </w:p>
        </w:tc>
        <w:tc>
          <w:tcPr>
            <w:tcW w:w="946" w:type="dxa"/>
          </w:tcPr>
          <w:p>
            <w:pPr>
              <w:rPr>
                <w:rFonts w:hint="default"/>
                <w:highlight w:val="none"/>
                <w:vertAlign w:val="baseline"/>
                <w:lang w:val="en-US" w:eastAsia="zh-CN"/>
              </w:rPr>
            </w:pPr>
            <w:r>
              <w:rPr>
                <w:rFonts w:hint="eastAsia"/>
                <w:highlight w:val="none"/>
                <w:vertAlign w:val="baseline"/>
                <w:lang w:val="en-US" w:eastAsia="zh-CN"/>
              </w:rPr>
              <w:t>30.04</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50.44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50.38</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-0.12%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30k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8.25</w:t>
            </w:r>
          </w:p>
        </w:tc>
        <w:tc>
          <w:tcPr>
            <w:tcW w:w="946" w:type="dxa"/>
          </w:tcPr>
          <w:p>
            <w:pPr>
              <w:rPr>
                <w:rFonts w:hint="default"/>
                <w:highlight w:val="none"/>
                <w:vertAlign w:val="baseline"/>
                <w:lang w:val="en-US" w:eastAsia="zh-CN"/>
              </w:rPr>
            </w:pPr>
            <w:r>
              <w:rPr>
                <w:rFonts w:hint="eastAsia"/>
                <w:highlight w:val="none"/>
                <w:vertAlign w:val="baseline"/>
                <w:lang w:val="en-US" w:eastAsia="zh-CN"/>
              </w:rPr>
              <w:t>30.06</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49.75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49.83</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0.16%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40k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8.29</w:t>
            </w:r>
          </w:p>
        </w:tc>
        <w:tc>
          <w:tcPr>
            <w:tcW w:w="946" w:type="dxa"/>
          </w:tcPr>
          <w:p>
            <w:pPr>
              <w:rPr>
                <w:rFonts w:hint="default"/>
                <w:highlight w:val="none"/>
                <w:vertAlign w:val="baseline"/>
                <w:lang w:val="en-US" w:eastAsia="zh-CN"/>
              </w:rPr>
            </w:pPr>
            <w:r>
              <w:rPr>
                <w:rFonts w:hint="eastAsia"/>
                <w:highlight w:val="none"/>
                <w:vertAlign w:val="baseline"/>
                <w:lang w:val="en-US" w:eastAsia="zh-CN"/>
              </w:rPr>
              <w:t>30.03</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49.81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49.99</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0.37%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50k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8.27</w:t>
            </w:r>
          </w:p>
        </w:tc>
        <w:tc>
          <w:tcPr>
            <w:tcW w:w="946" w:type="dxa"/>
          </w:tcPr>
          <w:p>
            <w:pPr>
              <w:rPr>
                <w:rFonts w:hint="default"/>
                <w:highlight w:val="none"/>
                <w:vertAlign w:val="baseline"/>
                <w:lang w:val="en-US" w:eastAsia="zh-CN"/>
              </w:rPr>
            </w:pPr>
            <w:r>
              <w:rPr>
                <w:rFonts w:hint="eastAsia"/>
                <w:highlight w:val="none"/>
                <w:vertAlign w:val="baseline"/>
                <w:lang w:val="en-US" w:eastAsia="zh-CN"/>
              </w:rPr>
              <w:t>30.06</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49.86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49.68</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-0.37%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60k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8.28</w:t>
            </w:r>
          </w:p>
        </w:tc>
        <w:tc>
          <w:tcPr>
            <w:tcW w:w="946" w:type="dxa"/>
          </w:tcPr>
          <w:p>
            <w:pPr>
              <w:rPr>
                <w:rFonts w:hint="default"/>
                <w:highlight w:val="none"/>
                <w:vertAlign w:val="baseline"/>
                <w:lang w:val="en-US" w:eastAsia="zh-CN"/>
              </w:rPr>
            </w:pPr>
            <w:r>
              <w:rPr>
                <w:rFonts w:hint="eastAsia"/>
                <w:highlight w:val="none"/>
                <w:vertAlign w:val="baseline"/>
                <w:lang w:val="en-US" w:eastAsia="zh-CN"/>
              </w:rPr>
              <w:t>30.05</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49.86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49.36</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-1.01%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70k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8.28</w:t>
            </w:r>
          </w:p>
        </w:tc>
        <w:tc>
          <w:tcPr>
            <w:tcW w:w="946" w:type="dxa"/>
          </w:tcPr>
          <w:p>
            <w:pPr>
              <w:rPr>
                <w:rFonts w:hint="eastAsia"/>
                <w:highlight w:val="none"/>
                <w:vertAlign w:val="baseline"/>
                <w:lang w:val="en-US" w:eastAsia="zh-CN"/>
              </w:rPr>
            </w:pPr>
            <w:r>
              <w:rPr>
                <w:rFonts w:hint="eastAsia"/>
                <w:highlight w:val="none"/>
                <w:vertAlign w:val="baseline"/>
                <w:lang w:val="en-US" w:eastAsia="zh-CN"/>
              </w:rPr>
              <w:t>30.05</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49.86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49.38</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-0.97%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80k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8.29</w:t>
            </w:r>
          </w:p>
        </w:tc>
        <w:tc>
          <w:tcPr>
            <w:tcW w:w="946" w:type="dxa"/>
          </w:tcPr>
          <w:p>
            <w:pPr>
              <w:rPr>
                <w:rFonts w:hint="eastAsia"/>
                <w:highlight w:val="none"/>
                <w:vertAlign w:val="baseline"/>
                <w:lang w:val="en-US" w:eastAsia="zh-CN"/>
              </w:rPr>
            </w:pPr>
            <w:r>
              <w:rPr>
                <w:rFonts w:hint="eastAsia"/>
                <w:highlight w:val="none"/>
                <w:vertAlign w:val="baseline"/>
                <w:lang w:val="en-US" w:eastAsia="zh-CN"/>
              </w:rPr>
              <w:t>30.05</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49.92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49.4</w:t>
            </w:r>
            <w:r>
              <w:rPr>
                <w:rFonts w:hint="eastAsia"/>
                <w:highlight w:val="none"/>
                <w:vertAlign w:val="baseline"/>
                <w:lang w:val="en-US" w:eastAsia="zh-CN"/>
              </w:rPr>
              <w:t>0</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-1.04%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90k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8.33</w:t>
            </w:r>
          </w:p>
        </w:tc>
        <w:tc>
          <w:tcPr>
            <w:tcW w:w="946" w:type="dxa"/>
          </w:tcPr>
          <w:p>
            <w:pPr>
              <w:rPr>
                <w:rFonts w:hint="eastAsia"/>
                <w:highlight w:val="none"/>
                <w:vertAlign w:val="baseline"/>
                <w:lang w:val="en-US" w:eastAsia="zh-CN"/>
              </w:rPr>
            </w:pPr>
            <w:r>
              <w:rPr>
                <w:rFonts w:hint="eastAsia"/>
                <w:highlight w:val="none"/>
                <w:vertAlign w:val="baseline"/>
                <w:lang w:val="en-US" w:eastAsia="zh-CN"/>
              </w:rPr>
              <w:t>30.05</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50.15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49.48</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-1.34%  </w:t>
            </w:r>
          </w:p>
        </w:tc>
        <w:tc>
          <w:tcPr>
            <w:tcW w:w="946" w:type="dxa"/>
            <w:vMerge w:val="continue"/>
          </w:tcPr>
          <w:p>
            <w:pP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rFonts w:hint="default"/>
                <w:highlight w:val="none"/>
                <w:vertAlign w:val="baseline"/>
                <w:lang w:val="en-US" w:eastAsia="zh-CN"/>
              </w:rPr>
            </w:pPr>
            <w:r>
              <w:rPr>
                <w:rFonts w:hint="eastAsia"/>
                <w:highlight w:val="none"/>
                <w:vertAlign w:val="baseline"/>
                <w:lang w:val="en-US" w:eastAsia="zh-CN"/>
              </w:rPr>
              <w:t>100k</w:t>
            </w:r>
          </w:p>
        </w:tc>
        <w:tc>
          <w:tcPr>
            <w:tcW w:w="946" w:type="dxa"/>
            <w:vAlign w:val="center"/>
          </w:tcPr>
          <w:p>
            <w:pPr>
              <w:rPr>
                <w:rFonts w:hint="default"/>
                <w:highlight w:val="none"/>
                <w:vertAlign w:val="baseline"/>
                <w:lang w:val="en-US" w:eastAsia="zh-CN"/>
              </w:rPr>
            </w:pPr>
            <w:r>
              <w:rPr>
                <w:rFonts w:hint="eastAsia"/>
                <w:highlight w:val="none"/>
                <w:vertAlign w:val="baseline"/>
                <w:lang w:val="en-US" w:eastAsia="zh-CN"/>
              </w:rPr>
              <w:t>8.36</w:t>
            </w:r>
          </w:p>
        </w:tc>
        <w:tc>
          <w:tcPr>
            <w:tcW w:w="946" w:type="dxa"/>
          </w:tcPr>
          <w:p>
            <w:pPr>
              <w:rPr>
                <w:rFonts w:hint="eastAsia"/>
                <w:highlight w:val="none"/>
                <w:vertAlign w:val="baseline"/>
                <w:lang w:val="en-US" w:eastAsia="zh-CN"/>
              </w:rPr>
            </w:pPr>
            <w:r>
              <w:rPr>
                <w:rFonts w:hint="eastAsia"/>
                <w:highlight w:val="none"/>
                <w:vertAlign w:val="baseline"/>
                <w:lang w:val="en-US" w:eastAsia="zh-CN"/>
              </w:rPr>
              <w:t>30.05</w:t>
            </w:r>
          </w:p>
        </w:tc>
        <w:tc>
          <w:tcPr>
            <w:tcW w:w="946" w:type="dxa"/>
          </w:tcPr>
          <w:p>
            <w:pPr>
              <w:rPr>
                <w:rFonts w:hint="eastAsia"/>
                <w:highlight w:val="none"/>
                <w:vertAlign w:val="baseline"/>
                <w:lang w:val="en-US" w:eastAsia="zh-CN"/>
              </w:rPr>
            </w:pPr>
            <w:r>
              <w:rPr>
                <w:rFonts w:hint="eastAsia"/>
                <w:highlight w:val="none"/>
                <w:vertAlign w:val="baseline"/>
                <w:lang w:val="en-US" w:eastAsia="zh-CN"/>
              </w:rPr>
              <w:t>49.7</w:t>
            </w:r>
          </w:p>
        </w:tc>
        <w:tc>
          <w:tcPr>
            <w:tcW w:w="946" w:type="dxa"/>
          </w:tcPr>
          <w:p>
            <w:pPr>
              <w:rPr>
                <w:rFonts w:hint="eastAsia"/>
                <w:highlight w:val="none"/>
                <w:vertAlign w:val="baseline"/>
                <w:lang w:val="en-US" w:eastAsia="zh-CN"/>
              </w:rPr>
            </w:pPr>
            <w:r>
              <w:rPr>
                <w:rFonts w:hint="eastAsia"/>
                <w:highlight w:val="none"/>
                <w:vertAlign w:val="baseline"/>
                <w:lang w:val="en-US" w:eastAsia="zh-CN"/>
              </w:rPr>
              <w:t>0.37</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50.32 </w:t>
            </w:r>
          </w:p>
        </w:tc>
        <w:tc>
          <w:tcPr>
            <w:tcW w:w="946" w:type="dxa"/>
            <w:vAlign w:val="top"/>
          </w:tcPr>
          <w:p>
            <w:pPr>
              <w:rPr>
                <w:rFonts w:hint="default"/>
                <w:highlight w:val="none"/>
                <w:vertAlign w:val="baseline"/>
                <w:lang w:val="en-US" w:eastAsia="zh-CN"/>
              </w:rPr>
            </w:pPr>
            <w:r>
              <w:rPr>
                <w:rFonts w:hint="default"/>
                <w:highlight w:val="none"/>
                <w:vertAlign w:val="baseline"/>
                <w:lang w:val="en-US" w:eastAsia="zh-CN"/>
              </w:rPr>
              <w:t>49.53</w:t>
            </w:r>
          </w:p>
        </w:tc>
        <w:tc>
          <w:tcPr>
            <w:tcW w:w="946" w:type="dxa"/>
            <w:vAlign w:val="center"/>
          </w:tcPr>
          <w:p>
            <w:pPr>
              <w:rPr>
                <w:rFonts w:hint="eastAsia"/>
                <w:highlight w:val="none"/>
                <w:vertAlign w:val="baseline"/>
                <w:lang w:val="en-US" w:eastAsia="zh-CN"/>
              </w:rPr>
            </w:pPr>
            <w:r>
              <w:rPr>
                <w:rFonts w:hint="eastAsia"/>
                <w:highlight w:val="none"/>
                <w:vertAlign w:val="baseline"/>
                <w:lang w:val="en-US" w:eastAsia="zh-CN"/>
              </w:rPr>
              <w:t xml:space="preserve">-1.58%  </w:t>
            </w:r>
          </w:p>
        </w:tc>
        <w:tc>
          <w:tcPr>
            <w:tcW w:w="946" w:type="dxa"/>
            <w:vMerge w:val="continue"/>
          </w:tcPr>
          <w:p>
            <w:pPr>
              <w:rPr>
                <w:rFonts w:hint="eastAsia"/>
                <w:highlight w:val="none"/>
                <w:vertAlign w:val="baseline"/>
                <w:lang w:val="en-US" w:eastAsia="zh-CN"/>
              </w:rPr>
            </w:pPr>
          </w:p>
        </w:tc>
      </w:tr>
    </w:tbl>
    <w:p>
      <w:pPr>
        <w:spacing w:line="360" w:lineRule="auto"/>
        <w:ind w:firstLine="480" w:firstLineChars="200"/>
        <w:rPr>
          <w:rFonts w:hint="eastAsia"/>
          <w:sz w:val="24"/>
          <w:szCs w:val="24"/>
          <w:highlight w:val="none"/>
          <w:lang w:eastAsia="zh-CN"/>
        </w:rPr>
      </w:pPr>
      <w:r>
        <w:rPr>
          <w:rFonts w:hint="eastAsia"/>
          <w:sz w:val="24"/>
          <w:szCs w:val="24"/>
          <w:highlight w:val="none"/>
          <w:lang w:val="en-US" w:eastAsia="zh-CN"/>
        </w:rPr>
        <w:t>由上述表格数据可以看出，两个系统中测量结果类似，但由于在TEM小室的测量系统中，标准场的计算公式更复杂，所涉及的不确定度分量更多且影响量更大。所以在10kHz～100kHz频段，平行板电场装置的校准系统具有更小的测量结果不确定度。</w:t>
      </w:r>
    </w:p>
    <w:p>
      <w:pPr>
        <w:spacing w:line="360" w:lineRule="auto"/>
        <w:ind w:firstLine="480" w:firstLineChars="200"/>
        <w:rPr>
          <w:rFonts w:hint="default"/>
          <w:sz w:val="24"/>
          <w:szCs w:val="24"/>
          <w:highlight w:val="none"/>
          <w:lang w:val="en-US" w:eastAsia="zh-CN"/>
        </w:rPr>
      </w:pPr>
      <w:r>
        <w:rPr>
          <w:rFonts w:hint="eastAsia"/>
          <w:sz w:val="24"/>
          <w:szCs w:val="24"/>
          <w:highlight w:val="none"/>
          <w:lang w:eastAsia="zh-CN"/>
        </w:rPr>
        <w:t>所以，综合考虑，确定本次制定的低频电场测量仪的计量特性的频率范围为</w:t>
      </w:r>
      <w:r>
        <w:rPr>
          <w:rFonts w:hint="eastAsia"/>
          <w:sz w:val="24"/>
          <w:szCs w:val="24"/>
          <w:highlight w:val="none"/>
          <w:lang w:val="en-US" w:eastAsia="zh-CN"/>
        </w:rPr>
        <w:t>1</w:t>
      </w:r>
      <w:bookmarkStart w:id="0" w:name="_GoBack"/>
      <w:bookmarkEnd w:id="0"/>
      <w:r>
        <w:rPr>
          <w:rFonts w:hint="eastAsia"/>
          <w:sz w:val="24"/>
          <w:szCs w:val="24"/>
          <w:highlight w:val="none"/>
          <w:lang w:val="en-US" w:eastAsia="zh-CN"/>
        </w:rPr>
        <w:t>Hz～100kHz。</w:t>
      </w:r>
    </w:p>
    <w:p>
      <w:pPr>
        <w:spacing w:line="360" w:lineRule="auto"/>
        <w:ind w:firstLine="480" w:firstLineChars="200"/>
        <w:rPr>
          <w:rFonts w:hint="eastAsia"/>
          <w:sz w:val="24"/>
          <w:szCs w:val="24"/>
          <w:highlight w:val="none"/>
          <w:lang w:eastAsia="zh-CN"/>
        </w:rPr>
      </w:pPr>
      <w:r>
        <w:rPr>
          <w:rFonts w:hint="eastAsia"/>
          <w:sz w:val="24"/>
          <w:szCs w:val="24"/>
          <w:highlight w:val="none"/>
          <w:lang w:eastAsia="zh-CN"/>
        </w:rPr>
        <w:t>由于低频电场测量仪在实际使用和校准过程中，都是测量空间中的电磁场，因此，本规范在评定不确定度时，除了考虑常规的电压、距离、位置等影响量外，还考虑了平行极板装置产生标准场的场均匀性，以及被测件放入该标准场中引起的场扰动等的影响量。</w:t>
      </w:r>
    </w:p>
    <w:p>
      <w:pPr>
        <w:spacing w:line="360" w:lineRule="auto"/>
        <w:rPr>
          <w:rFonts w:hint="eastAsia"/>
          <w:b/>
          <w:bCs/>
          <w:sz w:val="24"/>
          <w:szCs w:val="24"/>
          <w:highlight w:val="none"/>
          <w:lang w:eastAsia="zh-CN"/>
        </w:rPr>
      </w:pPr>
      <w:r>
        <w:rPr>
          <w:rFonts w:hint="eastAsia"/>
          <w:b/>
          <w:bCs/>
          <w:sz w:val="24"/>
          <w:szCs w:val="24"/>
          <w:highlight w:val="none"/>
          <w:lang w:val="en-US" w:eastAsia="zh-CN"/>
        </w:rPr>
        <w:t>2、</w:t>
      </w:r>
      <w:r>
        <w:rPr>
          <w:rFonts w:hint="eastAsia"/>
          <w:b/>
          <w:bCs/>
          <w:sz w:val="24"/>
          <w:szCs w:val="24"/>
          <w:highlight w:val="none"/>
          <w:lang w:eastAsia="zh-CN"/>
        </w:rPr>
        <w:t>验证情况</w:t>
      </w:r>
    </w:p>
    <w:p>
      <w:pPr>
        <w:spacing w:line="360" w:lineRule="auto"/>
        <w:ind w:firstLine="480" w:firstLineChars="200"/>
        <w:rPr>
          <w:rFonts w:hint="eastAsia"/>
          <w:sz w:val="24"/>
          <w:szCs w:val="24"/>
          <w:highlight w:val="none"/>
          <w:lang w:eastAsia="zh-CN"/>
        </w:rPr>
      </w:pPr>
      <w:r>
        <w:rPr>
          <w:rFonts w:hint="eastAsia"/>
          <w:sz w:val="24"/>
          <w:szCs w:val="24"/>
          <w:highlight w:val="none"/>
          <w:lang w:eastAsia="zh-CN"/>
        </w:rPr>
        <w:t>为验证本规范中所规定的校准项目和校准方法的正确性和可行性，编写组选择德国</w:t>
      </w:r>
      <w:r>
        <w:rPr>
          <w:rFonts w:hint="eastAsia"/>
          <w:sz w:val="24"/>
          <w:szCs w:val="24"/>
          <w:highlight w:val="none"/>
          <w:lang w:val="en-US" w:eastAsia="zh-CN"/>
        </w:rPr>
        <w:t>narda公司的EHP-50F电磁辐射分析仪</w:t>
      </w:r>
      <w:r>
        <w:rPr>
          <w:rFonts w:hint="eastAsia"/>
          <w:sz w:val="24"/>
          <w:szCs w:val="24"/>
          <w:highlight w:val="none"/>
          <w:lang w:eastAsia="zh-CN"/>
        </w:rPr>
        <w:t>为试验对象，对规范包含的全部校准项目进行了验证，并编制了试验报告。验证试验结果表明，规范规定的校准项目和技术要求合理，校准方法正确，实际操作性强，校准数据准确，校准规范可行。</w:t>
      </w:r>
    </w:p>
    <w:p>
      <w:pPr>
        <w:spacing w:line="360" w:lineRule="auto"/>
        <w:rPr>
          <w:rFonts w:hint="eastAsia" w:ascii="宋体" w:hAnsi="宋体"/>
          <w:b/>
          <w:bCs w:val="0"/>
          <w:sz w:val="28"/>
          <w:szCs w:val="28"/>
          <w:highlight w:val="none"/>
        </w:rPr>
      </w:pPr>
      <w:r>
        <w:rPr>
          <w:rFonts w:hint="eastAsia" w:ascii="宋体" w:hAnsi="宋体"/>
          <w:b/>
          <w:bCs w:val="0"/>
          <w:sz w:val="28"/>
          <w:szCs w:val="28"/>
          <w:highlight w:val="none"/>
          <w:lang w:eastAsia="zh-CN"/>
        </w:rPr>
        <w:t>六、</w:t>
      </w:r>
      <w:r>
        <w:rPr>
          <w:rFonts w:hint="eastAsia" w:ascii="宋体" w:hAnsi="宋体"/>
          <w:b/>
          <w:bCs w:val="0"/>
          <w:sz w:val="28"/>
          <w:szCs w:val="28"/>
          <w:highlight w:val="none"/>
        </w:rPr>
        <w:t>参考资料</w:t>
      </w:r>
    </w:p>
    <w:p>
      <w:pPr>
        <w:spacing w:line="360" w:lineRule="auto"/>
        <w:ind w:firstLine="480" w:firstLineChars="200"/>
        <w:rPr>
          <w:rFonts w:hint="eastAsia"/>
          <w:sz w:val="24"/>
          <w:szCs w:val="24"/>
          <w:highlight w:val="none"/>
          <w:lang w:eastAsia="zh-CN"/>
        </w:rPr>
      </w:pPr>
      <w:r>
        <w:rPr>
          <w:rFonts w:hint="eastAsia"/>
          <w:sz w:val="24"/>
          <w:szCs w:val="24"/>
          <w:highlight w:val="none"/>
          <w:lang w:eastAsia="zh-CN"/>
        </w:rPr>
        <w:t>JJF 1071 国家计量校准规范编写规则</w:t>
      </w:r>
    </w:p>
    <w:p>
      <w:pPr>
        <w:spacing w:line="360" w:lineRule="auto"/>
        <w:ind w:firstLine="480" w:firstLineChars="200"/>
        <w:rPr>
          <w:rFonts w:hint="eastAsia"/>
          <w:sz w:val="24"/>
          <w:szCs w:val="24"/>
          <w:highlight w:val="none"/>
          <w:lang w:eastAsia="zh-CN"/>
        </w:rPr>
      </w:pPr>
      <w:r>
        <w:rPr>
          <w:rFonts w:hint="eastAsia"/>
          <w:sz w:val="24"/>
          <w:szCs w:val="24"/>
          <w:highlight w:val="none"/>
          <w:lang w:eastAsia="zh-CN"/>
        </w:rPr>
        <w:t>JJF 1059.1 不确定度评定与表示</w:t>
      </w:r>
    </w:p>
    <w:p>
      <w:pPr>
        <w:spacing w:line="360" w:lineRule="auto"/>
        <w:ind w:firstLine="480" w:firstLineChars="200"/>
      </w:pPr>
      <w:r>
        <w:rPr>
          <w:rFonts w:hint="eastAsia"/>
          <w:sz w:val="24"/>
          <w:szCs w:val="24"/>
          <w:highlight w:val="none"/>
          <w:lang w:eastAsia="zh-CN"/>
        </w:rPr>
        <w:t>JJF 1001通用计量术语及定义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B6A8E"/>
    <w:multiLevelType w:val="multilevel"/>
    <w:tmpl w:val="08DB6A8E"/>
    <w:lvl w:ilvl="0" w:tentative="0">
      <w:start w:val="1"/>
      <w:numFmt w:val="japaneseCounting"/>
      <w:pStyle w:val="2"/>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912B34"/>
    <w:multiLevelType w:val="singleLevel"/>
    <w:tmpl w:val="31912B34"/>
    <w:lvl w:ilvl="0" w:tentative="0">
      <w:start w:val="1"/>
      <w:numFmt w:val="bullet"/>
      <w:lvlText w:val=""/>
      <w:lvlJc w:val="left"/>
      <w:pPr>
        <w:ind w:left="420" w:leftChars="0" w:hanging="420" w:firstLineChars="0"/>
      </w:pPr>
      <w:rPr>
        <w:rFonts w:hint="default" w:ascii="Wingdings" w:hAnsi="Wingdings"/>
        <w:sz w:val="1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zY2U0OGE2NzZiMDQ2NjgzOWJjZGViOTY0OTIwMjgifQ=="/>
  </w:docVars>
  <w:rsids>
    <w:rsidRoot w:val="00000000"/>
    <w:rsid w:val="003D21B2"/>
    <w:rsid w:val="013B4910"/>
    <w:rsid w:val="02A8425B"/>
    <w:rsid w:val="03A367D0"/>
    <w:rsid w:val="03B94246"/>
    <w:rsid w:val="046349BF"/>
    <w:rsid w:val="048C3708"/>
    <w:rsid w:val="04D07A99"/>
    <w:rsid w:val="054364BD"/>
    <w:rsid w:val="05790131"/>
    <w:rsid w:val="05D114F6"/>
    <w:rsid w:val="06F85085"/>
    <w:rsid w:val="07660241"/>
    <w:rsid w:val="07C531B9"/>
    <w:rsid w:val="08183C31"/>
    <w:rsid w:val="086D65D3"/>
    <w:rsid w:val="0A382368"/>
    <w:rsid w:val="0AB539B9"/>
    <w:rsid w:val="0AB66B7A"/>
    <w:rsid w:val="0AFD710E"/>
    <w:rsid w:val="0B301291"/>
    <w:rsid w:val="0CF602B9"/>
    <w:rsid w:val="0D7A7C20"/>
    <w:rsid w:val="0E166300"/>
    <w:rsid w:val="0E8F62CF"/>
    <w:rsid w:val="0F670FFA"/>
    <w:rsid w:val="11131439"/>
    <w:rsid w:val="11C95F9C"/>
    <w:rsid w:val="11DB182B"/>
    <w:rsid w:val="12D270D2"/>
    <w:rsid w:val="12F9465F"/>
    <w:rsid w:val="136A10B9"/>
    <w:rsid w:val="14213E6D"/>
    <w:rsid w:val="14F90946"/>
    <w:rsid w:val="16557DFE"/>
    <w:rsid w:val="165C73DE"/>
    <w:rsid w:val="189F7A56"/>
    <w:rsid w:val="18FE477D"/>
    <w:rsid w:val="194D74B2"/>
    <w:rsid w:val="19FB0CBC"/>
    <w:rsid w:val="1A2F6BB8"/>
    <w:rsid w:val="1AD5775F"/>
    <w:rsid w:val="1B1A33C4"/>
    <w:rsid w:val="1B9E5DA3"/>
    <w:rsid w:val="1BA37CB2"/>
    <w:rsid w:val="1BC670A8"/>
    <w:rsid w:val="1C856F63"/>
    <w:rsid w:val="1D063C00"/>
    <w:rsid w:val="1D7C0366"/>
    <w:rsid w:val="1DEC729A"/>
    <w:rsid w:val="1E3B1FCF"/>
    <w:rsid w:val="1E3D18A3"/>
    <w:rsid w:val="1E71779F"/>
    <w:rsid w:val="1EC43D73"/>
    <w:rsid w:val="1F10520A"/>
    <w:rsid w:val="1F4301DD"/>
    <w:rsid w:val="1FDE2C12"/>
    <w:rsid w:val="219537A4"/>
    <w:rsid w:val="21F04E7F"/>
    <w:rsid w:val="22121299"/>
    <w:rsid w:val="22715FC0"/>
    <w:rsid w:val="227C4964"/>
    <w:rsid w:val="22963C78"/>
    <w:rsid w:val="23AA1B0B"/>
    <w:rsid w:val="23CA0447"/>
    <w:rsid w:val="23ED78C8"/>
    <w:rsid w:val="24311EAA"/>
    <w:rsid w:val="247E1076"/>
    <w:rsid w:val="249661B1"/>
    <w:rsid w:val="253634F0"/>
    <w:rsid w:val="255676EF"/>
    <w:rsid w:val="26127ABA"/>
    <w:rsid w:val="26390A95"/>
    <w:rsid w:val="26D42FC1"/>
    <w:rsid w:val="27003DB6"/>
    <w:rsid w:val="27075144"/>
    <w:rsid w:val="27C31D41"/>
    <w:rsid w:val="28924EE2"/>
    <w:rsid w:val="2944442E"/>
    <w:rsid w:val="2A994398"/>
    <w:rsid w:val="2AE31A25"/>
    <w:rsid w:val="2B5E10AB"/>
    <w:rsid w:val="2BC730F4"/>
    <w:rsid w:val="2C5A1872"/>
    <w:rsid w:val="2D984D48"/>
    <w:rsid w:val="2DF91EDD"/>
    <w:rsid w:val="2E137822"/>
    <w:rsid w:val="2E5A0250"/>
    <w:rsid w:val="2E6B420B"/>
    <w:rsid w:val="2EBB5196"/>
    <w:rsid w:val="2F4A2072"/>
    <w:rsid w:val="306A22A0"/>
    <w:rsid w:val="30AF1A48"/>
    <w:rsid w:val="30C96FC7"/>
    <w:rsid w:val="311F752F"/>
    <w:rsid w:val="31342FDA"/>
    <w:rsid w:val="31413001"/>
    <w:rsid w:val="31D2634F"/>
    <w:rsid w:val="326965BA"/>
    <w:rsid w:val="32696CB3"/>
    <w:rsid w:val="32B51EF8"/>
    <w:rsid w:val="336710D6"/>
    <w:rsid w:val="336E20A7"/>
    <w:rsid w:val="33D17FB8"/>
    <w:rsid w:val="33D95773"/>
    <w:rsid w:val="34C10120"/>
    <w:rsid w:val="34F32864"/>
    <w:rsid w:val="3511718E"/>
    <w:rsid w:val="351F3659"/>
    <w:rsid w:val="35A3428A"/>
    <w:rsid w:val="35F745D6"/>
    <w:rsid w:val="36B44275"/>
    <w:rsid w:val="36D60AFB"/>
    <w:rsid w:val="37887BDC"/>
    <w:rsid w:val="37931D11"/>
    <w:rsid w:val="379876F3"/>
    <w:rsid w:val="387B504A"/>
    <w:rsid w:val="38934A8A"/>
    <w:rsid w:val="38A547BD"/>
    <w:rsid w:val="38B151D6"/>
    <w:rsid w:val="395B4E7C"/>
    <w:rsid w:val="39DC420F"/>
    <w:rsid w:val="39F33306"/>
    <w:rsid w:val="3A080B60"/>
    <w:rsid w:val="3AC70A1B"/>
    <w:rsid w:val="3AE570F3"/>
    <w:rsid w:val="3B5F50F7"/>
    <w:rsid w:val="3B854432"/>
    <w:rsid w:val="3BAC7C11"/>
    <w:rsid w:val="3C700C3E"/>
    <w:rsid w:val="3E630A5B"/>
    <w:rsid w:val="3E686071"/>
    <w:rsid w:val="3EE15E23"/>
    <w:rsid w:val="3F310DEF"/>
    <w:rsid w:val="40786313"/>
    <w:rsid w:val="40C854ED"/>
    <w:rsid w:val="40DC2D46"/>
    <w:rsid w:val="40EA7211"/>
    <w:rsid w:val="4230334A"/>
    <w:rsid w:val="42380450"/>
    <w:rsid w:val="42707BEA"/>
    <w:rsid w:val="42F27E38"/>
    <w:rsid w:val="435B43F6"/>
    <w:rsid w:val="4391606A"/>
    <w:rsid w:val="43AC4C52"/>
    <w:rsid w:val="43DD1CAD"/>
    <w:rsid w:val="44650D7A"/>
    <w:rsid w:val="4541761C"/>
    <w:rsid w:val="45DE4E6B"/>
    <w:rsid w:val="462907DC"/>
    <w:rsid w:val="463C0CB3"/>
    <w:rsid w:val="464A2500"/>
    <w:rsid w:val="46843C64"/>
    <w:rsid w:val="47523D62"/>
    <w:rsid w:val="481B23A6"/>
    <w:rsid w:val="49817A41"/>
    <w:rsid w:val="4A2117CA"/>
    <w:rsid w:val="4A6F09C8"/>
    <w:rsid w:val="4A897A9B"/>
    <w:rsid w:val="4A9B5A20"/>
    <w:rsid w:val="4D920F74"/>
    <w:rsid w:val="4DD92AE7"/>
    <w:rsid w:val="4E08517B"/>
    <w:rsid w:val="4E265601"/>
    <w:rsid w:val="4E6F3350"/>
    <w:rsid w:val="4EEF27B9"/>
    <w:rsid w:val="4FAC7D88"/>
    <w:rsid w:val="4FCB386C"/>
    <w:rsid w:val="50591CBD"/>
    <w:rsid w:val="50E772C9"/>
    <w:rsid w:val="513E0EB3"/>
    <w:rsid w:val="51890380"/>
    <w:rsid w:val="536976DE"/>
    <w:rsid w:val="541008E5"/>
    <w:rsid w:val="54D933CD"/>
    <w:rsid w:val="557657F6"/>
    <w:rsid w:val="55821CB6"/>
    <w:rsid w:val="56252A02"/>
    <w:rsid w:val="568E6439"/>
    <w:rsid w:val="56D93B58"/>
    <w:rsid w:val="571921A6"/>
    <w:rsid w:val="574D1ABF"/>
    <w:rsid w:val="57981DED"/>
    <w:rsid w:val="57AF2B0B"/>
    <w:rsid w:val="58A75590"/>
    <w:rsid w:val="58E04ED5"/>
    <w:rsid w:val="59050C34"/>
    <w:rsid w:val="5A236E98"/>
    <w:rsid w:val="5A4E780A"/>
    <w:rsid w:val="5AF26F96"/>
    <w:rsid w:val="5B2630E4"/>
    <w:rsid w:val="5B9B13DC"/>
    <w:rsid w:val="5C981DBF"/>
    <w:rsid w:val="5CD03307"/>
    <w:rsid w:val="5CD820A6"/>
    <w:rsid w:val="5D047455"/>
    <w:rsid w:val="5D437F7D"/>
    <w:rsid w:val="5D551A5E"/>
    <w:rsid w:val="5D881E34"/>
    <w:rsid w:val="5DE03A1E"/>
    <w:rsid w:val="5DF43025"/>
    <w:rsid w:val="5E0A2849"/>
    <w:rsid w:val="5E4C4C10"/>
    <w:rsid w:val="5EE035AA"/>
    <w:rsid w:val="5F697A43"/>
    <w:rsid w:val="5F812FDF"/>
    <w:rsid w:val="5FCA6734"/>
    <w:rsid w:val="61412A26"/>
    <w:rsid w:val="62CA07F9"/>
    <w:rsid w:val="631D6B7A"/>
    <w:rsid w:val="6384309D"/>
    <w:rsid w:val="63C35974"/>
    <w:rsid w:val="64983F98"/>
    <w:rsid w:val="64A55079"/>
    <w:rsid w:val="64B74DAD"/>
    <w:rsid w:val="64D21BE7"/>
    <w:rsid w:val="654A79CF"/>
    <w:rsid w:val="65F067C8"/>
    <w:rsid w:val="67184229"/>
    <w:rsid w:val="67DC3E47"/>
    <w:rsid w:val="67DF4D46"/>
    <w:rsid w:val="68B24209"/>
    <w:rsid w:val="69717C20"/>
    <w:rsid w:val="6A413A96"/>
    <w:rsid w:val="6A4470E3"/>
    <w:rsid w:val="6AC67AF8"/>
    <w:rsid w:val="6AD20B92"/>
    <w:rsid w:val="6AE663EC"/>
    <w:rsid w:val="6B737C7F"/>
    <w:rsid w:val="6BAF2C82"/>
    <w:rsid w:val="6C9205D9"/>
    <w:rsid w:val="6DA06D26"/>
    <w:rsid w:val="6DC01BCB"/>
    <w:rsid w:val="6DE05374"/>
    <w:rsid w:val="6DE616AF"/>
    <w:rsid w:val="6E3B6A4F"/>
    <w:rsid w:val="6EB505AF"/>
    <w:rsid w:val="6F537761"/>
    <w:rsid w:val="6F6B5112"/>
    <w:rsid w:val="6FDB2297"/>
    <w:rsid w:val="70553DF8"/>
    <w:rsid w:val="70567B70"/>
    <w:rsid w:val="71015D2D"/>
    <w:rsid w:val="711517D9"/>
    <w:rsid w:val="71551BD5"/>
    <w:rsid w:val="71866233"/>
    <w:rsid w:val="71985233"/>
    <w:rsid w:val="72676F13"/>
    <w:rsid w:val="734F0FD2"/>
    <w:rsid w:val="73612AB3"/>
    <w:rsid w:val="74213FF1"/>
    <w:rsid w:val="74604B19"/>
    <w:rsid w:val="76CA4E14"/>
    <w:rsid w:val="76EC6B38"/>
    <w:rsid w:val="76FD1D23"/>
    <w:rsid w:val="773A0A2A"/>
    <w:rsid w:val="78000AED"/>
    <w:rsid w:val="789254BD"/>
    <w:rsid w:val="791800B8"/>
    <w:rsid w:val="794744F9"/>
    <w:rsid w:val="799D05BD"/>
    <w:rsid w:val="7A61783D"/>
    <w:rsid w:val="7A7C01D3"/>
    <w:rsid w:val="7AC758F2"/>
    <w:rsid w:val="7AC8695B"/>
    <w:rsid w:val="7C771E5F"/>
    <w:rsid w:val="7CCF4F32"/>
    <w:rsid w:val="7D172435"/>
    <w:rsid w:val="7D43322A"/>
    <w:rsid w:val="7D7653AD"/>
    <w:rsid w:val="7DE14F1D"/>
    <w:rsid w:val="7DE762AB"/>
    <w:rsid w:val="7E1E7F1F"/>
    <w:rsid w:val="7EA61CC2"/>
    <w:rsid w:val="7EBB39C0"/>
    <w:rsid w:val="7FA02BB5"/>
    <w:rsid w:val="7FCF6FF7"/>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adjustRightInd w:val="0"/>
      <w:snapToGrid w:val="0"/>
      <w:spacing w:line="360" w:lineRule="auto"/>
      <w:outlineLvl w:val="0"/>
    </w:pPr>
    <w:rPr>
      <w:rFonts w:ascii="黑体" w:hAnsi="宋体" w:eastAsia="黑体"/>
      <w:b/>
      <w:sz w:val="28"/>
      <w:szCs w:val="28"/>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b/>
      <w:bCs/>
      <w:sz w:val="28"/>
      <w:szCs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annotation text"/>
    <w:basedOn w:val="1"/>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3096</Words>
  <Characters>3999</Characters>
  <Lines>0</Lines>
  <Paragraphs>0</Paragraphs>
  <TotalTime>5</TotalTime>
  <ScaleCrop>false</ScaleCrop>
  <LinksUpToDate>false</LinksUpToDate>
  <CharactersWithSpaces>4079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2022-11-23T01:19:00Z</dcterms:created>
  <dc:creator>Administrator</dc:creator>
  <cp:lastModifiedBy>WPS_1641638754</cp:lastModifiedBy>
  <dcterms:modified xsi:type="dcterms:W3CDTF">2023-03-20T08:43:35Z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E5A00176B2A54B548DF7B3389DD0B5C9</vt:lpwstr>
  </property>
</Properties>
</file>