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校准结果的测量不确定度评定</w:t>
      </w:r>
    </w:p>
    <w:p>
      <w:pPr>
        <w:pStyle w:val="7"/>
      </w:pPr>
      <w:r>
        <w:t>1.  测量方法</w:t>
      </w:r>
    </w:p>
    <w:p>
      <w:pPr>
        <w:pStyle w:val="7"/>
        <w:ind w:firstLine="496"/>
      </w:pPr>
      <w:r>
        <w:t>在规范规定的校准条件下，将被校</w:t>
      </w:r>
      <w:r>
        <w:rPr>
          <w:rFonts w:hint="eastAsia"/>
          <w:lang w:val="en-US" w:eastAsia="zh-CN"/>
        </w:rPr>
        <w:t>S型皮托管</w:t>
      </w:r>
      <w:r>
        <w:t>安装在标准</w:t>
      </w:r>
      <w:r>
        <w:rPr>
          <w:rFonts w:hint="eastAsia"/>
          <w:lang w:val="en-US" w:eastAsia="zh-CN"/>
        </w:rPr>
        <w:t>流量</w:t>
      </w:r>
      <w:r>
        <w:t>装置实验段中，以标准</w:t>
      </w:r>
      <w:r>
        <w:rPr>
          <w:rFonts w:hint="eastAsia"/>
          <w:lang w:val="en-US" w:eastAsia="zh-CN"/>
        </w:rPr>
        <w:t>流量</w:t>
      </w:r>
      <w:r>
        <w:t>计的值为参考标准，在</w:t>
      </w:r>
      <w:r>
        <w:rPr>
          <w:rFonts w:hint="eastAsia"/>
          <w:lang w:val="en-US" w:eastAsia="zh-CN"/>
        </w:rPr>
        <w:t>标准流量</w:t>
      </w:r>
      <w:r>
        <w:t>装置中用比较法对</w:t>
      </w:r>
      <w:r>
        <w:rPr>
          <w:rFonts w:hint="eastAsia"/>
          <w:lang w:val="en-US" w:eastAsia="zh-CN"/>
        </w:rPr>
        <w:t>流量计</w:t>
      </w:r>
      <w:r>
        <w:t>进行校准，具体实验步骤件参考本规范第七节中的校准方法。</w:t>
      </w:r>
    </w:p>
    <w:p>
      <w:pPr>
        <w:spacing w:line="360" w:lineRule="auto"/>
        <w:outlineLvl w:val="1"/>
        <w:rPr>
          <w:rFonts w:hint="default" w:ascii="宋体" w:hAnsi="宋体" w:eastAsia="宋体" w:cs="宋体"/>
          <w:sz w:val="24"/>
          <w:szCs w:val="24"/>
        </w:rPr>
      </w:pPr>
      <w:bookmarkStart w:id="0" w:name="_Toc24392"/>
      <w:r>
        <w:rPr>
          <w:rFonts w:hint="default" w:ascii="宋体" w:hAnsi="宋体" w:eastAsia="宋体" w:cs="宋体"/>
          <w:sz w:val="24"/>
          <w:szCs w:val="24"/>
        </w:rPr>
        <w:t>2 不确定分析</w:t>
      </w:r>
      <w:bookmarkEnd w:id="0"/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2.1 数学模型</w:t>
      </w:r>
    </w:p>
    <w:p>
      <w:pPr>
        <w:jc w:val="center"/>
        <w:rPr>
          <w:rFonts w:ascii="Times New Roman" w:hAnsi="Times New Roman" w:cs="Times New Roman"/>
          <w:szCs w:val="22"/>
        </w:rPr>
      </w:pPr>
      <w:r>
        <w:rPr>
          <w:rFonts w:hint="default" w:ascii="Times New Roman" w:hAnsi="Times New Roman" w:eastAsia="宋体" w:cs="Times New Roman"/>
          <w:position w:val="-32"/>
          <w:sz w:val="24"/>
          <w:szCs w:val="24"/>
          <w:lang w:val="en-US" w:eastAsia="zh-CN"/>
        </w:rPr>
        <w:object>
          <v:shape id="_x0000_i1043" o:spt="75" type="#_x0000_t75" style="height:37pt;width:94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43" DrawAspect="Content" ObjectID="_1468075725" r:id="rId5">
            <o:LockedField>false</o:LockedField>
          </o:OLEObject>
        </w:object>
      </w:r>
    </w:p>
    <w:p>
      <w:pPr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其中：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>
          <v:shape id="_x0000_i1044" o:spt="75" type="#_x0000_t75" style="height:19.2pt;width:27.6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44" DrawAspect="Content" ObjectID="_1468075726" r:id="rId7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——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俯仰角为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偏航角为</w:t>
      </w:r>
      <w:r>
        <w:rPr>
          <w:rFonts w:hint="default" w:ascii="Arial" w:hAnsi="Arial" w:cs="Arial"/>
          <w:sz w:val="24"/>
          <w:szCs w:val="24"/>
          <w:lang w:val="en-US" w:eastAsia="zh-CN"/>
        </w:rPr>
        <w:t>β</w:t>
      </w:r>
      <w:r>
        <w:rPr>
          <w:rFonts w:ascii="Times New Roman" w:hAnsi="Times New Roman" w:cs="Times New Roman"/>
          <w:sz w:val="24"/>
          <w:szCs w:val="24"/>
        </w:rPr>
        <w:t>第i校准点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第j次校准</w:t>
      </w:r>
      <w:r>
        <w:rPr>
          <w:rFonts w:ascii="Times New Roman" w:hAnsi="Times New Roman" w:cs="Times New Roman"/>
          <w:sz w:val="24"/>
          <w:szCs w:val="24"/>
        </w:rPr>
        <w:t>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示值</w:t>
      </w:r>
      <w:r>
        <w:rPr>
          <w:rFonts w:ascii="Times New Roman" w:hAnsi="Times New Roman" w:cs="Times New Roman"/>
          <w:sz w:val="24"/>
          <w:szCs w:val="24"/>
        </w:rPr>
        <w:t>误差；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>
          <v:shape id="_x0000_i1045" o:spt="75" type="#_x0000_t75" style="height:19.45pt;width:20.4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45" DrawAspect="Content" ObjectID="_1468075727" r:id="rId9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——被校皮托管的示值</w:t>
      </w:r>
      <w:bookmarkStart w:id="1" w:name="OLE_LINK8"/>
      <w:bookmarkEnd w:id="1"/>
      <w:r>
        <w:rPr>
          <w:rFonts w:ascii="Times New Roman" w:hAnsi="Times New Roman" w:cs="Times New Roman"/>
          <w:sz w:val="24"/>
          <w:szCs w:val="24"/>
        </w:rPr>
        <w:t>，m/s；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>
          <v:shape id="_x0000_i1046" o:spt="75" type="#_x0000_t75" style="height:19.2pt;width:24.7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46" DrawAspect="Content" ObjectID="_1468075728" r:id="rId11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——标准速度值，m/s；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根据不确定度传播规律可得出：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position w:val="-12"/>
          <w:sz w:val="24"/>
          <w:szCs w:val="24"/>
        </w:rPr>
      </w:pPr>
      <w:r>
        <w:rPr>
          <w:rFonts w:ascii="Times New Roman" w:hAnsi="Times New Roman" w:eastAsia="宋体" w:cs="Times New Roman"/>
          <w:position w:val="-14"/>
          <w:sz w:val="24"/>
          <w:szCs w:val="24"/>
        </w:rPr>
        <w:object>
          <v:shape id="_x0000_i1047" o:spt="75" type="#_x0000_t75" style="height:19.8pt;width:170.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47" DrawAspect="Content" ObjectID="_1468075729" r:id="rId13">
            <o:LockedField>false</o:LockedField>
          </o:OLEObject>
        </w:object>
      </w:r>
    </w:p>
    <w:p>
      <w:pPr>
        <w:spacing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position w:val="-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position w:val="-12"/>
          <w:sz w:val="24"/>
          <w:szCs w:val="24"/>
          <w:lang w:val="en-US" w:eastAsia="zh-CN"/>
        </w:rPr>
        <w:t>或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position w:val="-12"/>
          <w:sz w:val="24"/>
          <w:szCs w:val="24"/>
        </w:rPr>
      </w:pPr>
      <w:r>
        <w:rPr>
          <w:rFonts w:ascii="Times New Roman" w:hAnsi="Times New Roman" w:eastAsia="宋体" w:cs="Times New Roman"/>
          <w:position w:val="-16"/>
          <w:sz w:val="24"/>
          <w:szCs w:val="24"/>
        </w:rPr>
        <w:object>
          <v:shape id="_x0000_i1048" o:spt="75" type="#_x0000_t75" style="height:23.8pt;width:152.8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48" DrawAspect="Content" ObjectID="_1468075730" r:id="rId1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C.2.2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灵敏</w:t>
      </w:r>
      <w:r>
        <w:rPr>
          <w:rFonts w:ascii="Times New Roman" w:hAnsi="Times New Roman" w:eastAsia="宋体" w:cs="Times New Roman"/>
          <w:sz w:val="24"/>
          <w:szCs w:val="24"/>
        </w:rPr>
        <w:t>系数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根据JJF1059.1《不确定度评定与表示》中4.4.2.3中的模型进行评定，则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position w:val="-32"/>
          <w:sz w:val="24"/>
          <w:szCs w:val="24"/>
        </w:rPr>
        <w:object>
          <v:shape id="_x0000_i1049" o:spt="75" type="#_x0000_t75" style="height:34.8pt;width:51.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49" DrawAspect="Content" ObjectID="_1468075731" r:id="rId17">
            <o:LockedField>false</o:LockedField>
          </o:OLEObject>
        </w:objec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position w:val="-32"/>
          <w:sz w:val="24"/>
          <w:szCs w:val="24"/>
        </w:rPr>
        <w:object>
          <v:shape id="_x0000_i1050" o:spt="75" type="#_x0000_t75" style="height:36.8pt;width:61.0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50" DrawAspect="Content" ObjectID="_1468075732" r:id="rId19">
            <o:LockedField>false</o:LockedField>
          </o:OLEObject>
        </w:object>
      </w:r>
    </w:p>
    <w:p>
      <w:pPr>
        <w:spacing w:line="360" w:lineRule="auto"/>
        <w:jc w:val="left"/>
        <w:rPr>
          <w:rFonts w:hint="eastAsia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2.3 </w:t>
      </w:r>
      <w:r>
        <w:rPr>
          <w:rFonts w:hint="eastAsia" w:cs="Times New Roman"/>
          <w:sz w:val="24"/>
          <w:szCs w:val="24"/>
          <w:lang w:val="en-US" w:eastAsia="zh-CN"/>
        </w:rPr>
        <w:t>校准数据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以某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参比方法用S型皮托管的校准为例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为例，进行实验室校准。将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S型皮托管安装在风洞坐标架上，调整S型皮托管与风洞轴线垂直，气流流动方向与S型皮托管标识方向一致。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表</w:t>
      </w:r>
      <w:r>
        <w:rPr>
          <w:rFonts w:hint="eastAsia" w:ascii="Times New Roman" w:hAnsi="Times New Roman" w:eastAsia="黑体" w:cs="Times New Roman"/>
          <w:kern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kern w:val="0"/>
          <w:sz w:val="21"/>
          <w:szCs w:val="21"/>
          <w:lang w:val="en-US" w:eastAsia="zh-CN"/>
        </w:rPr>
        <w:t>充分发展流场超声流量计校准数据</w:t>
      </w:r>
    </w:p>
    <w:tbl>
      <w:tblPr>
        <w:tblStyle w:val="4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96"/>
        <w:gridCol w:w="249"/>
        <w:gridCol w:w="747"/>
        <w:gridCol w:w="994"/>
        <w:gridCol w:w="552"/>
        <w:gridCol w:w="427"/>
        <w:gridCol w:w="727"/>
        <w:gridCol w:w="288"/>
        <w:gridCol w:w="542"/>
        <w:gridCol w:w="454"/>
        <w:gridCol w:w="99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校准地点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烟气流量实验室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校准时间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标准值（m/s）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温度（℃）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湿度（%RH）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密度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1.12kg/m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S皮托管原校准系数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0.80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其它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大气压：99.924kPa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校准位置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俯仰角（°）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偏航角（°）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被校皮托管值（Pa）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标准风速（m/s）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标准皮托管值（Pa）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9.06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13.41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16.97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20.65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23.48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24.23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22.30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22.45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26.75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26.92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6.83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11.30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11.28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13.14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13.12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14.96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20.94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20.62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20.65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21.72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23.42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23.29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23.25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23.79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23.28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23.20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22.65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22.61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23.88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23.86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28.47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27.88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27.68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18.71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20.43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20.62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21.92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21.74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13.61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13.35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13.32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18.58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19.53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21.44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21.97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21.88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20.10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19.91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19.96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18.78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</w:tr>
    </w:tbl>
    <w:p>
      <w:pPr>
        <w:spacing w:line="360" w:lineRule="auto"/>
        <w:jc w:val="left"/>
        <w:rPr>
          <w:rFonts w:hint="default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输入量的标准不确定度评定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不确定度分量包括测量重复性引入的不确定度，标准装置溯源引入的不确定度。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2.3.1 标准器溯源引入的不确定度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标准器</w:t>
      </w:r>
      <w:r>
        <w:rPr>
          <w:rFonts w:hint="eastAsia" w:cs="Times New Roman"/>
          <w:sz w:val="24"/>
          <w:szCs w:val="24"/>
          <w:lang w:val="en-US" w:eastAsia="zh-CN"/>
        </w:rPr>
        <w:t>L型皮托管</w:t>
      </w:r>
      <w:r>
        <w:rPr>
          <w:rFonts w:hint="default" w:ascii="Times New Roman" w:hAnsi="Times New Roman" w:eastAsia="宋体" w:cs="Times New Roman"/>
          <w:sz w:val="24"/>
          <w:szCs w:val="24"/>
        </w:rPr>
        <w:t>不确定度为0.</w:t>
      </w:r>
      <w:r>
        <w:rPr>
          <w:rFonts w:hint="eastAsia" w:cs="Times New Roman"/>
          <w:sz w:val="24"/>
          <w:szCs w:val="24"/>
          <w:lang w:val="en-US" w:eastAsia="zh-CN"/>
        </w:rPr>
        <w:t>41</w:t>
      </w:r>
      <w:r>
        <w:rPr>
          <w:rFonts w:hint="default" w:ascii="Times New Roman" w:hAnsi="Times New Roman" w:eastAsia="宋体" w:cs="Times New Roman"/>
          <w:sz w:val="24"/>
          <w:szCs w:val="24"/>
        </w:rPr>
        <w:t>%，k=2，则</w: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24"/>
          <w:sz w:val="24"/>
          <w:szCs w:val="24"/>
        </w:rPr>
        <w:object>
          <v:shape id="_x0000_i1033" o:spt="75" alt="" type="#_x0000_t75" style="height:31.3pt;width:129.7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2.3.2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标准皮托管</w:t>
      </w:r>
      <w:r>
        <w:rPr>
          <w:rFonts w:ascii="Times New Roman" w:hAnsi="Times New Roman" w:eastAsia="宋体" w:cs="Times New Roman"/>
          <w:sz w:val="24"/>
          <w:szCs w:val="24"/>
        </w:rPr>
        <w:t>测量重复性引入的不确定度</w:t>
      </w:r>
    </w:p>
    <w:p>
      <w:pPr>
        <w:spacing w:line="360" w:lineRule="auto"/>
        <w:ind w:firstLine="48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标准皮托管测得值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如表1所示</w:t>
      </w:r>
      <w:r>
        <w:rPr>
          <w:rFonts w:ascii="Times New Roman" w:hAnsi="Times New Roman" w:eastAsia="宋体" w:cs="Times New Roman"/>
          <w:sz w:val="24"/>
          <w:szCs w:val="24"/>
        </w:rPr>
        <w:t>，采用极差法计算重复型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并取最大值为器测量重复性。</w:t>
      </w:r>
    </w:p>
    <w:p>
      <w:pPr>
        <w:spacing w:line="360" w:lineRule="auto"/>
        <w:ind w:firstLine="480"/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2" w:name="OLE_LINK3"/>
      <w:r>
        <w:rPr>
          <w:rFonts w:ascii="Times New Roman" w:hAnsi="Times New Roman" w:eastAsia="宋体" w:cs="Times New Roman"/>
          <w:position w:val="-12"/>
          <w:sz w:val="24"/>
          <w:szCs w:val="24"/>
        </w:rPr>
        <w:object>
          <v:shape id="_x0000_i1051" o:spt="75" type="#_x0000_t75" style="height:17.9pt;width:69.1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51" DrawAspect="Content" ObjectID="_1468075734" r:id="rId23">
            <o:LockedField>false</o:LockedField>
          </o:OLEObject>
        </w:object>
      </w:r>
      <w:bookmarkEnd w:id="2"/>
    </w:p>
    <w:p>
      <w:pPr>
        <w:spacing w:line="360" w:lineRule="auto"/>
        <w:ind w:firstLine="480"/>
        <w:jc w:val="both"/>
        <w:rPr>
          <w:rFonts w:hint="default" w:ascii="Times New Roman" w:hAnsi="Times New Roman" w:eastAsia="宋体" w:cs="Times New Roman"/>
          <w:position w:val="-3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position w:val="-32"/>
          <w:sz w:val="24"/>
          <w:szCs w:val="24"/>
          <w:lang w:val="en-US" w:eastAsia="zh-CN"/>
        </w:rPr>
        <w:t>由测量重复性引入的不确定度见表C.2为</w:t>
      </w:r>
    </w:p>
    <w:p>
      <w:pPr>
        <w:spacing w:line="360" w:lineRule="auto"/>
        <w:ind w:firstLine="48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position w:val="-12"/>
          <w:sz w:val="24"/>
          <w:szCs w:val="24"/>
        </w:rPr>
        <w:object>
          <v:shape id="_x0000_i1052" o:spt="75" type="#_x0000_t75" style="height:18.05pt;width:78.1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52" DrawAspect="Content" ObjectID="_1468075735" r:id="rId2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2.3.3 标准器不确定度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position w:val="-14"/>
          <w:sz w:val="24"/>
          <w:szCs w:val="24"/>
        </w:rPr>
        <w:object>
          <v:shape id="_x0000_i1053" o:spt="75" type="#_x0000_t75" style="height:23.8pt;width:283.1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53" DrawAspect="Content" ObjectID="_1468075736" r:id="rId2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2.4 被校皮托管引入的不确定度</w:t>
      </w:r>
    </w:p>
    <w:p>
      <w:pPr>
        <w:spacing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被校皮托管主要由测量重复性引入的不确定度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见表C.2中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position w:val="-10"/>
          <w:sz w:val="24"/>
          <w:szCs w:val="24"/>
          <w:lang w:val="en-US" w:eastAsia="zh-CN"/>
        </w:rPr>
        <w:object>
          <v:shape id="_x0000_i1054" o:spt="75" type="#_x0000_t75" style="height:17pt;width:66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54" DrawAspect="Content" ObjectID="_1468075737" r:id="rId29">
            <o:LockedField>false</o:LockedField>
          </o:OLEObject>
        </w:objec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position w:val="-28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position w:val="-28"/>
          <w:sz w:val="21"/>
          <w:szCs w:val="21"/>
          <w:lang w:val="en-US" w:eastAsia="zh-CN"/>
        </w:rPr>
        <w:t>表2 各点由重复性引入的相对不确定度</w:t>
      </w:r>
    </w:p>
    <w:tbl>
      <w:tblPr>
        <w:tblStyle w:val="3"/>
        <w:tblW w:w="885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91"/>
        <w:gridCol w:w="591"/>
        <w:gridCol w:w="516"/>
        <w:gridCol w:w="516"/>
        <w:gridCol w:w="516"/>
        <w:gridCol w:w="516"/>
        <w:gridCol w:w="591"/>
        <w:gridCol w:w="591"/>
        <w:gridCol w:w="591"/>
        <w:gridCol w:w="591"/>
        <w:gridCol w:w="516"/>
        <w:gridCol w:w="516"/>
        <w:gridCol w:w="516"/>
        <w:gridCol w:w="516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3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标准皮托管压力值（Pa）</w:t>
            </w:r>
          </w:p>
        </w:tc>
        <w:tc>
          <w:tcPr>
            <w:tcW w:w="1548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标准风速值（m/s）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重复性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相对不确定度</w:t>
            </w:r>
          </w:p>
        </w:tc>
        <w:tc>
          <w:tcPr>
            <w:tcW w:w="1773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S型皮托管压力值（Pa）</w:t>
            </w:r>
          </w:p>
        </w:tc>
        <w:tc>
          <w:tcPr>
            <w:tcW w:w="1548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S型皮托管测量值（m/s）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重复性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相对不确定度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2.43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2.41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7.03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8.98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3.22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11.26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13.41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13.29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16.97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20.74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23.48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23.47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23.37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24.48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24.31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24.36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24.23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22.46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22.30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22.45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24.39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24.25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26.93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26.75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26.92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5.53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5.67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5.57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5.65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6.85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6.68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6.83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8.75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11.14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13.12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16.64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16.63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16.57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21.78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21.72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21.62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23.42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23.29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23.25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23.79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23.72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23.20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22.74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22.65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22.61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23.88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23.86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23.71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28.53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28.47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28.52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5.71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5.71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27.88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27.68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5.62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18.75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18.71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20.43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20.73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21.92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21.74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20.48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17.83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17.86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4.54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4.51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15.16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15.19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13.61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13.49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13.35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13.32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12.62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12.48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12.51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9.89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3.36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16.85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16.86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4.39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4.39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18.46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18.58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19.58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19.51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19.53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20.77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20.76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21.97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21.88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21.67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21.64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21.70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21.69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21.69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19.91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18.97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18.96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18.78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17.30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0.19%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宋体" w:cs="Times New Roman"/>
          <w:position w:val="-28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2.5 合成标准不确定度的评价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eastAsia="宋体" w:cs="Times New Roman"/>
          <w:sz w:val="24"/>
          <w:szCs w:val="24"/>
        </w:rPr>
        <w:t>2.5.1 标准不确定度汇总表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表</w:t>
      </w:r>
      <w:r>
        <w:rPr>
          <w:rFonts w:hint="eastAsia" w:ascii="Times New Roman" w:hAnsi="Times New Roman" w:cs="Times New Roman"/>
          <w:szCs w:val="21"/>
          <w:lang w:val="en-US" w:eastAsia="zh-CN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标准不确定度汇总表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72"/>
        <w:gridCol w:w="1804"/>
        <w:gridCol w:w="177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符号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不确定度来源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输入不确定度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系数</w:t>
            </w: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i/>
                <w:iCs/>
                <w:szCs w:val="21"/>
                <w:vertAlign w:val="subscript"/>
              </w:rPr>
              <w:t>i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合成不确定度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3" w:name="OLE_LINK11"/>
            <w:r>
              <w:rPr>
                <w:rFonts w:ascii="Times New Roman" w:hAnsi="Times New Roman" w:eastAsia="宋体" w:cs="Times New Roman"/>
                <w:position w:val="-10"/>
                <w:szCs w:val="21"/>
              </w:rPr>
              <w:object>
                <v:shape id="_x0000_i1055" o:spt="75" type="#_x0000_t75" style="height:16.9pt;width:26.9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3" ShapeID="_x0000_i1055" DrawAspect="Content" ObjectID="_1468075738" r:id="rId31">
                  <o:LockedField>false</o:LockedField>
                </o:OLEObject>
              </w:object>
            </w:r>
            <w:bookmarkEnd w:id="3"/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重复性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43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43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Cs w:val="21"/>
              </w:rPr>
              <w:object>
                <v:shape id="_x0000_i1056" o:spt="75" type="#_x0000_t75" style="height:18.15pt;width:31.3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3" ShapeID="_x0000_i1056" DrawAspect="Content" ObjectID="_1468075739" r:id="rId33">
                  <o:LockedField>false</o:LockedField>
                </o:OLEObject>
              </w:objec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溯源证书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0.32%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-1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0.32%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合成标准不确定度：</w:t>
            </w:r>
            <w:r>
              <w:rPr>
                <w:rFonts w:ascii="Times New Roman" w:hAnsi="Times New Roman" w:eastAsia="宋体" w:cs="Times New Roman"/>
                <w:position w:val="-12"/>
                <w:szCs w:val="21"/>
              </w:rPr>
              <w:object>
                <v:shape id="_x0000_i1057" o:spt="75" type="#_x0000_t75" style="height:18.15pt;width:75.75pt;" o:ole="t" filled="f" o:preferrelative="t" stroked="f" coordsize="21600,21600">
                  <v:path/>
                  <v:fill on="f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3" ShapeID="_x0000_i1057" DrawAspect="Content" ObjectID="_1468075740" r:id="rId35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Cs w:val="21"/>
              </w:rPr>
              <w:t>，扩展不确定度：</w:t>
            </w:r>
            <w:bookmarkStart w:id="4" w:name="OLE_LINK12"/>
            <w:r>
              <w:rPr>
                <w:rFonts w:ascii="Times New Roman" w:hAnsi="Times New Roman" w:eastAsia="宋体" w:cs="Times New Roman"/>
                <w:position w:val="-10"/>
                <w:szCs w:val="21"/>
              </w:rPr>
              <w:object>
                <v:shape id="_x0000_i1058" o:spt="75" type="#_x0000_t75" style="height:16.9pt;width:53.2pt;" o:ole="t" filled="f" o:preferrelative="t" stroked="f" coordsize="21600,21600">
                  <v:path/>
                  <v:fill on="f" focussize="0,0"/>
                  <v:stroke on="f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3" ShapeID="_x0000_i1058" DrawAspect="Content" ObjectID="_1468075741" r:id="rId37">
                  <o:LockedField>false</o:LockedField>
                </o:OLEObject>
              </w:object>
            </w:r>
            <w:bookmarkEnd w:id="4"/>
            <w:r>
              <w:rPr>
                <w:rFonts w:ascii="Times New Roman" w:hAnsi="Times New Roman" w:eastAsia="宋体" w:cs="Times New Roman"/>
                <w:szCs w:val="21"/>
              </w:rPr>
              <w:t>，k=2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2.5.2 合成标准不确定度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输入量彼此独立不相关，所以合成标准不确定度按下式得到：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position w:val="-14"/>
          <w:sz w:val="24"/>
          <w:szCs w:val="24"/>
        </w:rPr>
        <w:object>
          <v:shape id="_x0000_i1059" o:spt="75" type="#_x0000_t75" style="height:23.2pt;width:160.3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59" DrawAspect="Content" ObjectID="_1468075742" r:id="rId3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2.6 扩展不确定度的评定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固定源烟气流速（量）参比方法用S型皮托管的校准</w:t>
      </w:r>
      <w:r>
        <w:rPr>
          <w:rFonts w:ascii="Times New Roman" w:hAnsi="Times New Roman" w:eastAsia="宋体" w:cs="Times New Roman"/>
          <w:sz w:val="24"/>
          <w:szCs w:val="24"/>
        </w:rPr>
        <w:t>，取覆盖因子k=2,校准结果的不确定度为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position w:val="-10"/>
          <w:sz w:val="24"/>
          <w:szCs w:val="24"/>
        </w:rPr>
        <w:object>
          <v:shape id="_x0000_i1060" o:spt="75" type="#_x0000_t75" style="height:16.9pt;width:128.95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60" DrawAspect="Content" ObjectID="_1468075743" r:id="rId41">
            <o:LockedField>false</o:LockedField>
          </o:OLEObject>
        </w:object>
      </w:r>
    </w:p>
    <w:p/>
    <w:sectPr>
      <w:footerReference r:id="rId3" w:type="default"/>
      <w:pgSz w:w="11907" w:h="16840"/>
      <w:pgMar w:top="1440" w:right="1406" w:bottom="1440" w:left="175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Zl6Fm9kBAAC2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hY2E0MGU5ODdiNDEyOTgxNmVjYTJiM2Q3MDdkZTgifQ=="/>
  </w:docVars>
  <w:rsids>
    <w:rsidRoot w:val="005122D1"/>
    <w:rsid w:val="00251455"/>
    <w:rsid w:val="004C6038"/>
    <w:rsid w:val="005122D1"/>
    <w:rsid w:val="00864786"/>
    <w:rsid w:val="008839D7"/>
    <w:rsid w:val="00984C23"/>
    <w:rsid w:val="00B60AC6"/>
    <w:rsid w:val="00BB04EE"/>
    <w:rsid w:val="0362562B"/>
    <w:rsid w:val="09813C76"/>
    <w:rsid w:val="13794A3C"/>
    <w:rsid w:val="17C06DDE"/>
    <w:rsid w:val="366A725B"/>
    <w:rsid w:val="3D712EC0"/>
    <w:rsid w:val="482F34D2"/>
    <w:rsid w:val="52DD0DD2"/>
    <w:rsid w:val="530F7855"/>
    <w:rsid w:val="53B10B90"/>
    <w:rsid w:val="640935C9"/>
    <w:rsid w:val="79E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标准文件_段"/>
    <w:qFormat/>
    <w:uiPriority w:val="0"/>
    <w:pPr>
      <w:autoSpaceDE w:val="0"/>
      <w:autoSpaceDN w:val="0"/>
      <w:adjustRightInd w:val="0"/>
      <w:snapToGrid w:val="0"/>
      <w:spacing w:line="360" w:lineRule="auto"/>
    </w:pPr>
    <w:rPr>
      <w:rFonts w:ascii="Times New Roman" w:hAnsi="Times New Roman" w:eastAsia="宋体" w:cs="Times New Roman"/>
      <w:spacing w:val="2"/>
      <w:kern w:val="0"/>
      <w:sz w:val="24"/>
      <w:szCs w:val="24"/>
      <w:lang w:val="en-US" w:eastAsia="zh-CN" w:bidi="ar-SA"/>
    </w:rPr>
  </w:style>
  <w:style w:type="paragraph" w:styleId="8">
    <w:name w:val="No Spacing"/>
    <w:qFormat/>
    <w:uiPriority w:val="1"/>
    <w:pPr>
      <w:widowControl w:val="0"/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4" Type="http://schemas.openxmlformats.org/officeDocument/2006/relationships/fontTable" Target="fontTable.xml"/><Relationship Id="rId43" Type="http://schemas.openxmlformats.org/officeDocument/2006/relationships/customXml" Target="../customXml/item1.xml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575</Words>
  <Characters>3282</Characters>
  <Lines>27</Lines>
  <Paragraphs>7</Paragraphs>
  <TotalTime>989</TotalTime>
  <ScaleCrop>false</ScaleCrop>
  <LinksUpToDate>false</LinksUpToDate>
  <CharactersWithSpaces>3850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2022-07-07T02:50:00Z</dcterms:created>
  <dc:creator>HUGE</dc:creator>
  <cp:lastModifiedBy>蓝色天空</cp:lastModifiedBy>
  <dcterms:modified xsi:type="dcterms:W3CDTF">2023-11-03T01:31:00Z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2077E82F2E134F6F9992B3D49EF32383</vt:lpwstr>
  </property>
</Properties>
</file>