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实验</w:t>
      </w:r>
      <w:r>
        <w:rPr>
          <w:rFonts w:hint="eastAsia" w:eastAsia="黑体"/>
          <w:b/>
          <w:sz w:val="44"/>
          <w:szCs w:val="44"/>
        </w:rPr>
        <w:t>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rPr>
          <w:sz w:val="24"/>
        </w:rPr>
      </w:pPr>
      <w:r>
        <w:rPr>
          <w:sz w:val="24"/>
        </w:rPr>
        <w:t>关于计量校准规范《</w:t>
      </w:r>
      <w:r>
        <w:rPr>
          <w:rFonts w:hint="eastAsia"/>
          <w:sz w:val="24"/>
          <w:lang w:val="en-US" w:eastAsia="zh-CN"/>
        </w:rPr>
        <w:t>固定源烟气流速（量）参比方法用S型皮托管校准规范</w:t>
      </w:r>
      <w:r>
        <w:rPr>
          <w:sz w:val="24"/>
        </w:rPr>
        <w:t>》中需要进行的实验内容如下所述。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eastAsia="黑体"/>
          <w:sz w:val="24"/>
        </w:rPr>
      </w:pPr>
      <w:r>
        <w:rPr>
          <w:rFonts w:eastAsia="黑体"/>
          <w:sz w:val="24"/>
        </w:rPr>
        <w:t>1 实验装置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>实验装置为：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52"/>
        <w:gridCol w:w="522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设备名称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技术指标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流速标准器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流速标准器可采用</w:t>
            </w:r>
            <w:r>
              <w:rPr>
                <w:rFonts w:ascii="Times New Roman" w:hAnsi="Times New Roman" w:eastAsia="宋体" w:cs="Times New Roman"/>
                <w:szCs w:val="21"/>
              </w:rPr>
              <w:t>L型皮托管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或激光多普勒流速仪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准确度等级</w:t>
            </w:r>
            <w:r>
              <w:rPr>
                <w:rFonts w:hint="eastAsia" w:ascii="Calibri" w:hAnsi="Calibri" w:cs="Times New Roman"/>
                <w:szCs w:val="22"/>
                <w:lang w:eastAsia="zh-CN"/>
              </w:rPr>
              <w:t>：</w:t>
            </w:r>
            <w:r>
              <w:rPr>
                <w:rFonts w:hint="eastAsia" w:ascii="Calibri" w:hAnsi="Calibri" w:cs="Times New Roman"/>
                <w:szCs w:val="22"/>
                <w:lang w:val="en-US" w:eastAsia="zh-CN"/>
              </w:rPr>
              <w:t>不超过被校皮托管校准系数允许误差的1/2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用于获取标准流速值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风洞</w:t>
            </w:r>
          </w:p>
        </w:tc>
        <w:tc>
          <w:tcPr>
            <w:tcW w:w="0" w:type="auto"/>
          </w:tcPr>
          <w:p>
            <w:pPr>
              <w:widowControl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0" w:name="OLE_LINK2"/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（1）测试段水力直径不小于0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.5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m；</w:t>
            </w:r>
          </w:p>
          <w:p>
            <w:pPr>
              <w:widowControl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（2）流场均匀性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≤0.5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%；</w:t>
            </w:r>
          </w:p>
          <w:p>
            <w:pPr>
              <w:widowControl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（3）流场稳定性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≤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.5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%；</w:t>
            </w:r>
          </w:p>
          <w:p>
            <w:pPr>
              <w:widowControl w:val="0"/>
              <w:spacing w:line="44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（3）流速范围：（1~30）m/s，流速测量扩展不确定度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≤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1%；</w:t>
            </w:r>
          </w:p>
          <w:p>
            <w:pPr>
              <w:widowControl w:val="0"/>
              <w:spacing w:line="440" w:lineRule="exact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（4）俯仰角测量范围：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-45°~45°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widowControl w:val="0"/>
              <w:spacing w:line="440" w:lineRule="exact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偏航角测量范围：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-45°~45°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俯仰角和偏航角不确定度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≤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°</w:t>
            </w:r>
            <w:bookmarkEnd w:id="0"/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用于产生标准流速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rPr>
          <w:rFonts w:hint="eastAsia"/>
          <w:vanish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vanish/>
          <w:sz w:val="24"/>
          <w:lang w:val="en-US" w:eastAsia="zh-CN"/>
        </w:rPr>
      </w:pPr>
      <w:r>
        <w:rPr>
          <w:rFonts w:hint="eastAsia"/>
          <w:vanish/>
          <w:sz w:val="24"/>
          <w:lang w:val="en-US" w:eastAsia="zh-CN"/>
        </w:rPr>
        <w:t>配套设备为</w:t>
      </w:r>
    </w:p>
    <w:tbl>
      <w:tblPr>
        <w:tblStyle w:val="9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37"/>
        <w:gridCol w:w="2967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81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设备名称</w:t>
            </w:r>
          </w:p>
        </w:tc>
        <w:tc>
          <w:tcPr>
            <w:tcW w:w="167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技术指标</w:t>
            </w:r>
          </w:p>
        </w:tc>
        <w:tc>
          <w:tcPr>
            <w:tcW w:w="206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差压计</w:t>
            </w:r>
          </w:p>
        </w:tc>
        <w:tc>
          <w:tcPr>
            <w:tcW w:w="1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量程：（-1250~1250）</w:t>
            </w:r>
            <w:r>
              <w:rPr>
                <w:rFonts w:ascii="Times New Roman" w:hAnsi="Times New Roman" w:eastAsia="宋体" w:cs="Times New Roman"/>
                <w:szCs w:val="21"/>
              </w:rPr>
              <w:t>Pa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分辨力≤1</w:t>
            </w:r>
            <w:r>
              <w:rPr>
                <w:rFonts w:ascii="Times New Roman" w:hAnsi="Times New Roman" w:eastAsia="宋体" w:cs="Times New Roman"/>
                <w:szCs w:val="21"/>
              </w:rPr>
              <w:t>Pa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准确度等级优于1.0级</w:t>
            </w:r>
          </w:p>
        </w:tc>
        <w:tc>
          <w:tcPr>
            <w:tcW w:w="20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气密性检查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气压计</w:t>
            </w:r>
          </w:p>
        </w:tc>
        <w:tc>
          <w:tcPr>
            <w:tcW w:w="167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0.1级以上</w:t>
            </w:r>
          </w:p>
        </w:tc>
        <w:tc>
          <w:tcPr>
            <w:tcW w:w="206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测量大气压力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温度计</w:t>
            </w:r>
          </w:p>
        </w:tc>
        <w:tc>
          <w:tcPr>
            <w:tcW w:w="167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最大允许误差：±0.1℃</w:t>
            </w:r>
          </w:p>
        </w:tc>
        <w:tc>
          <w:tcPr>
            <w:tcW w:w="206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测量温度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湿度计</w:t>
            </w:r>
          </w:p>
        </w:tc>
        <w:tc>
          <w:tcPr>
            <w:tcW w:w="167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最大允许误差：±5%</w:t>
            </w:r>
          </w:p>
        </w:tc>
        <w:tc>
          <w:tcPr>
            <w:tcW w:w="206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测量湿度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default"/>
          <w:vanish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eastAsia="黑体"/>
          <w:sz w:val="24"/>
        </w:rPr>
      </w:pPr>
      <w:r>
        <w:rPr>
          <w:rFonts w:eastAsia="黑体"/>
          <w:sz w:val="24"/>
        </w:rPr>
        <w:t>2实验内容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固定源烟气流速（量）参比方法用S型皮托管的校准</w:t>
      </w:r>
      <w:r>
        <w:rPr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eastAsia="黑体"/>
          <w:sz w:val="24"/>
        </w:rPr>
      </w:pPr>
      <w:r>
        <w:rPr>
          <w:rFonts w:eastAsia="黑体"/>
          <w:sz w:val="24"/>
        </w:rPr>
        <w:t>3实验结果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实验主要进行S型皮托管的校准，由于S型皮托管的特点，不能识别气流角度，且在烟道中测量时，烟道内气流复杂，导致测量的数据有较大误差，为解决这个问题，进行了大量实验，包括较大对S型皮托管的影响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3.1 校准过程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3.1.1</w:t>
      </w:r>
      <w:r>
        <w:rPr>
          <w:rFonts w:ascii="Times New Roman" w:hAnsi="Times New Roman" w:eastAsia="宋体" w:cs="Times New Roman"/>
          <w:sz w:val="24"/>
          <w:szCs w:val="24"/>
        </w:rPr>
        <w:t xml:space="preserve">一般检查 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bookmarkStart w:id="1" w:name="OLE_LINK1"/>
      <w:r>
        <w:rPr>
          <w:rFonts w:ascii="Times New Roman" w:hAnsi="Times New Roman" w:eastAsia="宋体" w:cs="Times New Roman"/>
          <w:sz w:val="24"/>
          <w:szCs w:val="24"/>
        </w:rPr>
        <w:t>外观检查确定皮托管标识清晰明确（制造厂家、型号、出厂编号、校准系数</w:t>
      </w:r>
      <w:bookmarkEnd w:id="1"/>
      <w:r>
        <w:rPr>
          <w:rFonts w:ascii="Times New Roman" w:hAnsi="Times New Roman" w:eastAsia="宋体" w:cs="Times New Roman"/>
          <w:sz w:val="24"/>
          <w:szCs w:val="24"/>
        </w:rPr>
        <w:t>、测头方向等信息）,皮托管堵塞和漏气检查方法见表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表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 xml:space="preserve"> 皮托管堵塞和漏气检查方法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皮托管堵塞检查方法</w:t>
            </w:r>
          </w:p>
        </w:tc>
        <w:tc>
          <w:tcPr>
            <w:tcW w:w="7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将总压接头和静压接头分别接通气源，用手分别放在总压孔和静压孔处，能明显感觉到气流流出，说明未堵塞。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皮托管漏气检查方法</w:t>
            </w:r>
          </w:p>
        </w:tc>
        <w:tc>
          <w:tcPr>
            <w:tcW w:w="7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将总压接头和静压接头分别接压力计，使用气源分别接通总压孔和静压孔，是压力达到750Pa或压力计满量程的75%以上，以较小则为准，撤走气源，迅速堵住总压孔和静压孔，保持20s以上，压力下降低于25Pa，则密封良好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3.1.2</w:t>
      </w:r>
      <w:r>
        <w:rPr>
          <w:rFonts w:ascii="Times New Roman" w:hAnsi="Times New Roman" w:eastAsia="宋体" w:cs="Times New Roman"/>
          <w:sz w:val="24"/>
          <w:szCs w:val="24"/>
        </w:rPr>
        <w:t xml:space="preserve"> 校准前准备</w:t>
      </w:r>
    </w:p>
    <w:p>
      <w:pPr>
        <w:spacing w:line="360" w:lineRule="auto"/>
        <w:ind w:firstLine="48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a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将S型皮托管两个引压管通过聚四氟乙烯引压软管与微压计连接，并进行漏气检查。</w:t>
      </w:r>
    </w:p>
    <w:p>
      <w:pPr>
        <w:spacing w:line="360" w:lineRule="auto"/>
        <w:ind w:firstLine="48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b）将S型皮托管通过固定杆固定在坐标架上。并测量S型皮托管测量孔到坐标架转动中心位置的长度。并将该长度输入测量软件中。</w:t>
      </w:r>
    </w:p>
    <w:p>
      <w:pPr>
        <w:spacing w:line="360" w:lineRule="auto"/>
        <w:ind w:firstLine="48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c）使用水平尺，使S型皮托管测量孔在同一水平面上。</w:t>
      </w:r>
    </w:p>
    <w:p>
      <w:pPr>
        <w:spacing w:line="360" w:lineRule="auto"/>
        <w:ind w:firstLine="48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d）将S皮托管测量孔通过坐标架移动到风洞测试中心位置，保持S型皮托管气流标识方向与风洞内气流流动方向保持一致。</w:t>
      </w:r>
    </w:p>
    <w:p>
      <w:pPr>
        <w:spacing w:line="360" w:lineRule="auto"/>
        <w:ind w:firstLine="48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e）使用测角仪器测量皮托管延长杆与风洞轴线夹角，并调整坐标架位置，使S型皮托管延长杆与风洞轴线夹角为90°。</w:t>
      </w:r>
    </w:p>
    <w:p>
      <w:pPr>
        <w:spacing w:line="360" w:lineRule="auto"/>
        <w:ind w:firstLine="48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f）将坐标架位置置零。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3.1.3</w:t>
      </w:r>
      <w:r>
        <w:rPr>
          <w:rFonts w:ascii="Times New Roman" w:hAnsi="Times New Roman" w:eastAsia="宋体" w:cs="Times New Roman"/>
          <w:sz w:val="24"/>
          <w:szCs w:val="24"/>
        </w:rPr>
        <w:t xml:space="preserve"> 皮托管系数校准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3.1.3.1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校准点位置确定</w:t>
      </w:r>
    </w:p>
    <w:p>
      <w:pPr>
        <w:spacing w:line="360" w:lineRule="auto"/>
        <w:ind w:firstLine="480"/>
        <w:rPr>
          <w:rFonts w:hint="default" w:ascii="Times New Roman" w:hAnsi="Times New Roman" w:eastAsiaTheme="minorEastAsia" w:cstheme="minorBidi"/>
          <w:kern w:val="0"/>
          <w:sz w:val="24"/>
          <w:szCs w:val="32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a）</w:t>
      </w:r>
      <w:r>
        <w:rPr>
          <w:rFonts w:hint="eastAsia" w:ascii="Times New Roman" w:hAnsi="Times New Roman" w:eastAsiaTheme="minorEastAsia" w:cstheme="minorBidi"/>
          <w:kern w:val="0"/>
          <w:sz w:val="24"/>
          <w:szCs w:val="32"/>
        </w:rPr>
        <w:t>在</w:t>
      </w:r>
      <w:r>
        <w:rPr>
          <w:rFonts w:ascii="Times New Roman" w:hAnsi="Times New Roman" w:eastAsiaTheme="minorEastAsia" w:cstheme="minorBidi"/>
          <w:kern w:val="0"/>
          <w:sz w:val="24"/>
          <w:szCs w:val="32"/>
        </w:rPr>
        <w:t>0.9</w:t>
      </w:r>
      <w:r>
        <w:rPr>
          <w:rFonts w:ascii="Times New Roman" w:hAnsi="Times New Roman" w:eastAsiaTheme="minorEastAsia" w:cstheme="minorBidi"/>
          <w:i/>
          <w:iCs/>
          <w:kern w:val="0"/>
          <w:sz w:val="24"/>
          <w:szCs w:val="32"/>
        </w:rPr>
        <w:t>v</w:t>
      </w:r>
      <w:r>
        <w:rPr>
          <w:rFonts w:ascii="Times New Roman" w:hAnsi="Times New Roman" w:eastAsiaTheme="minorEastAsia" w:cstheme="minorBidi"/>
          <w:kern w:val="0"/>
          <w:sz w:val="24"/>
          <w:szCs w:val="32"/>
          <w:vertAlign w:val="subscript"/>
        </w:rPr>
        <w:t>max</w:t>
      </w:r>
      <w:r>
        <w:rPr>
          <w:rFonts w:ascii="Times New Roman" w:hAnsi="Times New Roman" w:eastAsiaTheme="minorEastAsia" w:cstheme="minorBidi"/>
          <w:kern w:val="0"/>
          <w:sz w:val="24"/>
          <w:szCs w:val="32"/>
        </w:rPr>
        <w:t>~1.0</w:t>
      </w:r>
      <w:r>
        <w:rPr>
          <w:rFonts w:ascii="Times New Roman" w:hAnsi="Times New Roman" w:eastAsiaTheme="minorEastAsia" w:cstheme="minorBidi"/>
          <w:i/>
          <w:iCs/>
          <w:kern w:val="0"/>
          <w:sz w:val="24"/>
          <w:szCs w:val="32"/>
        </w:rPr>
        <w:t>v</w:t>
      </w:r>
      <w:r>
        <w:rPr>
          <w:rFonts w:ascii="Times New Roman" w:hAnsi="Times New Roman" w:eastAsiaTheme="minorEastAsia" w:cstheme="minorBidi"/>
          <w:kern w:val="0"/>
          <w:sz w:val="24"/>
          <w:szCs w:val="32"/>
          <w:vertAlign w:val="subscript"/>
        </w:rPr>
        <w:t>max</w:t>
      </w:r>
      <w:r>
        <w:rPr>
          <w:rFonts w:ascii="Times New Roman" w:hAnsi="Times New Roman" w:eastAsiaTheme="minorEastAsia" w:cstheme="minorBidi"/>
          <w:kern w:val="0"/>
          <w:sz w:val="24"/>
          <w:szCs w:val="32"/>
        </w:rPr>
        <w:t xml:space="preserve"> </w:t>
      </w:r>
      <w:r>
        <w:rPr>
          <w:rFonts w:hint="eastAsia" w:ascii="Times New Roman" w:hAnsi="Times New Roman" w:eastAsiaTheme="minorEastAsia" w:cstheme="minorBidi"/>
          <w:kern w:val="0"/>
          <w:sz w:val="24"/>
          <w:szCs w:val="32"/>
        </w:rPr>
        <w:t>、</w:t>
      </w:r>
      <w:r>
        <w:rPr>
          <w:rFonts w:ascii="Times New Roman" w:hAnsi="Times New Roman" w:eastAsiaTheme="minorEastAsia" w:cstheme="minorBidi"/>
          <w:kern w:val="0"/>
          <w:sz w:val="24"/>
          <w:szCs w:val="32"/>
        </w:rPr>
        <w:t>0.4</w:t>
      </w:r>
      <w:r>
        <w:rPr>
          <w:rFonts w:ascii="Times New Roman" w:hAnsi="Times New Roman" w:eastAsiaTheme="minorEastAsia" w:cstheme="minorBidi"/>
          <w:i/>
          <w:iCs/>
          <w:kern w:val="0"/>
          <w:sz w:val="24"/>
          <w:szCs w:val="32"/>
        </w:rPr>
        <w:t xml:space="preserve"> v</w:t>
      </w:r>
      <w:r>
        <w:rPr>
          <w:rFonts w:ascii="Times New Roman" w:hAnsi="Times New Roman" w:eastAsiaTheme="minorEastAsia" w:cstheme="minorBidi"/>
          <w:kern w:val="0"/>
          <w:sz w:val="24"/>
          <w:szCs w:val="32"/>
          <w:vertAlign w:val="subscript"/>
        </w:rPr>
        <w:t>max</w:t>
      </w:r>
      <w:r>
        <w:rPr>
          <w:rFonts w:ascii="Times New Roman" w:hAnsi="Times New Roman" w:eastAsiaTheme="minorEastAsia" w:cstheme="minorBidi"/>
          <w:kern w:val="0"/>
          <w:sz w:val="24"/>
          <w:szCs w:val="32"/>
        </w:rPr>
        <w:t xml:space="preserve"> ~ 0.6 </w:t>
      </w:r>
      <w:r>
        <w:rPr>
          <w:rFonts w:ascii="Times New Roman" w:hAnsi="Times New Roman" w:eastAsiaTheme="minorEastAsia" w:cstheme="minorBidi"/>
          <w:i/>
          <w:iCs/>
          <w:kern w:val="0"/>
          <w:sz w:val="24"/>
          <w:szCs w:val="32"/>
        </w:rPr>
        <w:t>v</w:t>
      </w:r>
      <w:r>
        <w:rPr>
          <w:rFonts w:ascii="Times New Roman" w:hAnsi="Times New Roman" w:eastAsiaTheme="minorEastAsia" w:cstheme="minorBidi"/>
          <w:kern w:val="0"/>
          <w:sz w:val="24"/>
          <w:szCs w:val="32"/>
          <w:vertAlign w:val="subscript"/>
        </w:rPr>
        <w:t>max</w:t>
      </w:r>
      <w:r>
        <w:rPr>
          <w:rFonts w:ascii="Times New Roman" w:hAnsi="Times New Roman" w:eastAsiaTheme="minorEastAsia" w:cstheme="minorBidi"/>
          <w:kern w:val="0"/>
          <w:sz w:val="24"/>
          <w:szCs w:val="32"/>
        </w:rPr>
        <w:t xml:space="preserve"> </w:t>
      </w:r>
      <w:r>
        <w:rPr>
          <w:rFonts w:hint="eastAsia" w:ascii="Times New Roman" w:hAnsi="Times New Roman" w:eastAsiaTheme="minorEastAsia" w:cstheme="minorBidi"/>
          <w:kern w:val="0"/>
          <w:sz w:val="24"/>
          <w:szCs w:val="32"/>
        </w:rPr>
        <w:t>、</w:t>
      </w:r>
      <w:r>
        <w:rPr>
          <w:rFonts w:ascii="Times New Roman" w:hAnsi="Times New Roman" w:eastAsiaTheme="minorEastAsia" w:cstheme="minorBidi"/>
          <w:i/>
          <w:iCs/>
          <w:kern w:val="0"/>
          <w:sz w:val="24"/>
          <w:szCs w:val="32"/>
        </w:rPr>
        <w:t>v</w:t>
      </w:r>
      <w:r>
        <w:rPr>
          <w:rFonts w:ascii="Times New Roman" w:hAnsi="Times New Roman" w:eastAsiaTheme="minorEastAsia" w:cstheme="minorBidi"/>
          <w:kern w:val="0"/>
          <w:sz w:val="24"/>
          <w:szCs w:val="32"/>
          <w:vertAlign w:val="subscript"/>
        </w:rPr>
        <w:t>min</w:t>
      </w:r>
      <w:r>
        <w:rPr>
          <w:rFonts w:ascii="Times New Roman" w:hAnsi="Times New Roman" w:eastAsiaTheme="minorEastAsia" w:cstheme="minorBidi"/>
          <w:kern w:val="0"/>
          <w:sz w:val="24"/>
          <w:szCs w:val="32"/>
        </w:rPr>
        <w:t>~1.1</w:t>
      </w:r>
      <w:r>
        <w:rPr>
          <w:rFonts w:ascii="Times New Roman" w:hAnsi="Times New Roman" w:eastAsiaTheme="minorEastAsia" w:cstheme="minorBidi"/>
          <w:i/>
          <w:iCs/>
          <w:kern w:val="0"/>
          <w:sz w:val="24"/>
          <w:szCs w:val="32"/>
        </w:rPr>
        <w:t>v</w:t>
      </w:r>
      <w:r>
        <w:rPr>
          <w:rFonts w:ascii="Times New Roman" w:hAnsi="Times New Roman" w:eastAsiaTheme="minorEastAsia" w:cstheme="minorBidi"/>
          <w:kern w:val="0"/>
          <w:sz w:val="24"/>
          <w:szCs w:val="32"/>
          <w:vertAlign w:val="subscript"/>
        </w:rPr>
        <w:t>min</w:t>
      </w:r>
      <w:r>
        <w:rPr>
          <w:rFonts w:hint="eastAsia" w:ascii="Times New Roman" w:hAnsi="Times New Roman" w:eastAsiaTheme="minorEastAsia" w:cstheme="minorBidi"/>
          <w:kern w:val="0"/>
          <w:sz w:val="24"/>
          <w:szCs w:val="32"/>
        </w:rPr>
        <w:t>不少于3个流速下进行校准。</w:t>
      </w:r>
    </w:p>
    <w:p>
      <w:pPr>
        <w:spacing w:line="360" w:lineRule="auto"/>
        <w:ind w:firstLine="480"/>
        <w:rPr>
          <w:rFonts w:hint="default" w:ascii="Times New Roman" w:hAnsi="Times New Roman" w:eastAsiaTheme="minorEastAsia" w:cstheme="minorBidi"/>
          <w:kern w:val="0"/>
          <w:sz w:val="24"/>
          <w:szCs w:val="32"/>
          <w:lang w:val="en-US" w:eastAsia="zh-CN"/>
        </w:rPr>
      </w:pPr>
      <w:r>
        <w:rPr>
          <w:rFonts w:hint="eastAsia" w:ascii="Times New Roman" w:hAnsi="Times New Roman" w:eastAsiaTheme="minorEastAsia" w:cstheme="minorBidi"/>
          <w:kern w:val="0"/>
          <w:sz w:val="24"/>
          <w:szCs w:val="32"/>
          <w:lang w:val="en-US" w:eastAsia="zh-CN"/>
        </w:rPr>
        <w:t>b）俯仰角和偏航角如表5所示</w:t>
      </w:r>
    </w:p>
    <w:p>
      <w:pPr>
        <w:spacing w:line="360" w:lineRule="auto"/>
        <w:ind w:firstLine="48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表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5</w:t>
      </w:r>
      <w:r>
        <w:rPr>
          <w:rFonts w:ascii="Times New Roman" w:hAnsi="Times New Roman" w:eastAsia="宋体" w:cs="Times New Roman"/>
          <w:szCs w:val="21"/>
        </w:rPr>
        <w:t xml:space="preserve"> 校准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位置</w:t>
      </w:r>
      <w:r>
        <w:rPr>
          <w:rFonts w:ascii="Times New Roman" w:hAnsi="Times New Roman" w:eastAsia="宋体" w:cs="Times New Roman"/>
          <w:szCs w:val="21"/>
        </w:rPr>
        <w:t>一览表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85"/>
        <w:gridCol w:w="1485"/>
        <w:gridCol w:w="1460"/>
        <w:gridCol w:w="148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俯仰角（°）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偏航角（°）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俯仰角（°）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偏航角（°）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-45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-45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-45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22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23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24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-20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-20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-20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26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-10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28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29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31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32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33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34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35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36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37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45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38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45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俯仰角（°）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偏航角（°）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俯仰角（°）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偏航角（°）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39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-45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58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59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41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42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61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43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62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44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-20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63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64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46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65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47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66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48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67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49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68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69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51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52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71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53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72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54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73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74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56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75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57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45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76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45</w:t>
            </w:r>
          </w:p>
        </w:tc>
      </w:tr>
    </w:tbl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3.1.3.2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校准程序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a）打开风机，调整风速至第一个校准流速点。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b）调整坐标架至第一个俯仰角和偏航角位置。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c）稳定20s以上，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标准风速和被校S型皮托管的读取采用间歇读数方法，一次校准过程中有效读数次数不得少于</w:t>
      </w:r>
      <w:r>
        <w:rPr>
          <w:rFonts w:hint="eastAsia" w:ascii="宋体" w:hAnsi="宋体" w:eastAsia="宋体" w:cs="Times New Roman"/>
          <w:sz w:val="24"/>
          <w:szCs w:val="24"/>
        </w:rPr>
        <w:t>3次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取其平均值作为该次校准的流速值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d）移动坐标架至下一个俯仰角和偏航角位置，重复b）操作。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e）依次按表5中的俯仰角和偏航角进行校准，直到该流速下的所有俯仰角和偏航角校准完成。</w:t>
      </w: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f）调整风速到下一个校准风速点，重复b）~e）步骤，直至校准完成。</w:t>
      </w:r>
    </w:p>
    <w:p>
      <w:pPr>
        <w:spacing w:line="360" w:lineRule="auto"/>
        <w:jc w:val="left"/>
        <w:rPr>
          <w:rFonts w:hint="eastAsia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3.2 测量数据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>表</w:t>
      </w:r>
      <w:r>
        <w:rPr>
          <w:rFonts w:hint="eastAsia" w:ascii="Times New Roman" w:hAnsi="Times New Roman" w:eastAsia="黑体" w:cs="Times New Roman"/>
          <w:kern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kern w:val="0"/>
          <w:sz w:val="21"/>
          <w:szCs w:val="21"/>
          <w:lang w:val="en-US" w:eastAsia="zh-CN"/>
        </w:rPr>
        <w:t>充分发展流场超声流量计校准数据</w:t>
      </w:r>
    </w:p>
    <w:tbl>
      <w:tblPr>
        <w:tblStyle w:val="9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96"/>
        <w:gridCol w:w="249"/>
        <w:gridCol w:w="747"/>
        <w:gridCol w:w="994"/>
        <w:gridCol w:w="552"/>
        <w:gridCol w:w="427"/>
        <w:gridCol w:w="727"/>
        <w:gridCol w:w="288"/>
        <w:gridCol w:w="542"/>
        <w:gridCol w:w="454"/>
        <w:gridCol w:w="99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校准地点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烟气流量实验室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校准时间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标准值（m/s）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温度（℃）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湿度（%RH）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密度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1.12kg/m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S皮托管原校准系数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0.80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其它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大气压：99.924kPa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校准位置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俯仰角（°）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偏航角（°）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被校皮托管值（Pa）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标准风速（m/s）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标准皮托管值（Pa）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9.06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13.41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16.97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23.48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22.30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22.45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26.92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11.30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13.14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13.12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14.96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20.94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21.72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23.42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23.29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23.25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23.79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23.20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22.65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22.61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23.88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23.86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28.47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27.88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27.68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18.71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21.92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21.74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21.25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20.56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13.61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13.35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13.32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17.01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16.85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19.53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20.93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21.07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21.04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20.85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21.58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21.44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20.92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21.97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21.88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21.67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21.49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21.64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21.69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20.99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20.10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19.91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19.96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18.97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18.96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18.78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17.30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17.19 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14.09 </w:t>
            </w:r>
          </w:p>
        </w:tc>
      </w:tr>
    </w:tbl>
    <w:p>
      <w:pPr>
        <w:spacing w:line="360" w:lineRule="auto"/>
        <w:jc w:val="left"/>
        <w:rPr>
          <w:rFonts w:hint="default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</w:t>
      </w: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输入量的标准不确定度评定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不确定度分量包括测量重复性引入的不确定度，标准装置溯源引入的不确定度。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.3.1 标准器溯源引入的不确定度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标准器</w:t>
      </w:r>
      <w:r>
        <w:rPr>
          <w:rFonts w:hint="eastAsia" w:cs="Times New Roman"/>
          <w:sz w:val="24"/>
          <w:szCs w:val="24"/>
          <w:lang w:val="en-US" w:eastAsia="zh-CN"/>
        </w:rPr>
        <w:t>L型皮托管</w:t>
      </w:r>
      <w:r>
        <w:rPr>
          <w:rFonts w:hint="default" w:ascii="Times New Roman" w:hAnsi="Times New Roman" w:eastAsia="宋体" w:cs="Times New Roman"/>
          <w:sz w:val="24"/>
          <w:szCs w:val="24"/>
        </w:rPr>
        <w:t>不确定度为0.</w:t>
      </w:r>
      <w:r>
        <w:rPr>
          <w:rFonts w:hint="eastAsia" w:cs="Times New Roman"/>
          <w:sz w:val="24"/>
          <w:szCs w:val="24"/>
          <w:lang w:val="en-US" w:eastAsia="zh-CN"/>
        </w:rPr>
        <w:t>41</w:t>
      </w:r>
      <w:r>
        <w:rPr>
          <w:rFonts w:hint="default" w:ascii="Times New Roman" w:hAnsi="Times New Roman" w:eastAsia="宋体" w:cs="Times New Roman"/>
          <w:sz w:val="24"/>
          <w:szCs w:val="24"/>
        </w:rPr>
        <w:t>%，k=2，则</w: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-24"/>
          <w:sz w:val="24"/>
          <w:szCs w:val="24"/>
        </w:rPr>
        <w:object>
          <v:shape id="_x0000_i1039" o:spt="75" type="#_x0000_t75" style="height:31.3pt;width:129.7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39" DrawAspect="Content" ObjectID="_1468075725" r:id="rId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.3.2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标准皮托管</w:t>
      </w:r>
      <w:r>
        <w:rPr>
          <w:rFonts w:ascii="Times New Roman" w:hAnsi="Times New Roman" w:eastAsia="宋体" w:cs="Times New Roman"/>
          <w:sz w:val="24"/>
          <w:szCs w:val="24"/>
        </w:rPr>
        <w:t>测量重复性引入的不确定度</w:t>
      </w:r>
    </w:p>
    <w:p>
      <w:pPr>
        <w:spacing w:line="360" w:lineRule="auto"/>
        <w:ind w:firstLine="48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标准皮托管测得值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如表1所示</w:t>
      </w:r>
      <w:r>
        <w:rPr>
          <w:rFonts w:ascii="Times New Roman" w:hAnsi="Times New Roman" w:eastAsia="宋体" w:cs="Times New Roman"/>
          <w:sz w:val="24"/>
          <w:szCs w:val="24"/>
        </w:rPr>
        <w:t>，采用极差法计算重复型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并取最大值为器测量重复性。</w:t>
      </w:r>
    </w:p>
    <w:p>
      <w:pPr>
        <w:spacing w:line="360" w:lineRule="auto"/>
        <w:ind w:firstLine="480"/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2" w:name="OLE_LINK3"/>
      <w:r>
        <w:rPr>
          <w:rFonts w:ascii="Times New Roman" w:hAnsi="Times New Roman" w:eastAsia="宋体" w:cs="Times New Roman"/>
          <w:position w:val="-12"/>
          <w:sz w:val="24"/>
          <w:szCs w:val="24"/>
        </w:rPr>
        <w:object>
          <v:shape id="_x0000_i1040" o:spt="75" type="#_x0000_t75" style="height:17.9pt;width:69.1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40" DrawAspect="Content" ObjectID="_1468075726" r:id="rId6">
            <o:LockedField>false</o:LockedField>
          </o:OLEObject>
        </w:object>
      </w:r>
      <w:bookmarkEnd w:id="2"/>
    </w:p>
    <w:p>
      <w:pPr>
        <w:spacing w:line="360" w:lineRule="auto"/>
        <w:ind w:firstLine="480"/>
        <w:jc w:val="both"/>
        <w:rPr>
          <w:rFonts w:hint="default" w:ascii="Times New Roman" w:hAnsi="Times New Roman" w:eastAsia="宋体" w:cs="Times New Roman"/>
          <w:position w:val="-3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position w:val="-32"/>
          <w:sz w:val="24"/>
          <w:szCs w:val="24"/>
          <w:lang w:val="en-US" w:eastAsia="zh-CN"/>
        </w:rPr>
        <w:t>由测量重复性引入的不确定度见表C.2为</w:t>
      </w:r>
    </w:p>
    <w:p>
      <w:pPr>
        <w:spacing w:line="360" w:lineRule="auto"/>
        <w:ind w:firstLine="48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12"/>
          <w:sz w:val="24"/>
          <w:szCs w:val="24"/>
        </w:rPr>
        <w:object>
          <v:shape id="_x0000_i1041" o:spt="75" type="#_x0000_t75" style="height:18.05pt;width:78.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41" DrawAspect="Content" ObjectID="_1468075727" r:id="rId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.3.3 标准器不确定度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14"/>
          <w:sz w:val="24"/>
          <w:szCs w:val="24"/>
        </w:rPr>
        <w:object>
          <v:shape id="_x0000_i1042" o:spt="75" type="#_x0000_t75" style="height:23.8pt;width:283.1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42" DrawAspect="Content" ObjectID="_1468075728" r:id="rId1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3.3</w:t>
      </w:r>
      <w:r>
        <w:rPr>
          <w:rFonts w:ascii="Times New Roman" w:hAnsi="Times New Roman" w:eastAsia="宋体" w:cs="Times New Roman"/>
          <w:sz w:val="24"/>
          <w:szCs w:val="24"/>
        </w:rPr>
        <w:t>.4 被校皮托管引入的不确定度</w:t>
      </w:r>
    </w:p>
    <w:p>
      <w:pPr>
        <w:spacing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被校皮托管主要由测量重复性引入的不确定度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见表C.2中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position w:val="-10"/>
          <w:sz w:val="24"/>
          <w:szCs w:val="24"/>
          <w:lang w:val="en-US" w:eastAsia="zh-CN"/>
        </w:rPr>
        <w:object>
          <v:shape id="_x0000_i1043" o:spt="75" type="#_x0000_t75" style="height:17pt;width:66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43" DrawAspect="Content" ObjectID="_1468075729" r:id="rId12">
            <o:LockedField>false</o:LockedField>
          </o:OLEObject>
        </w:objec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position w:val="-28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position w:val="-28"/>
          <w:sz w:val="21"/>
          <w:szCs w:val="21"/>
          <w:lang w:val="en-US" w:eastAsia="zh-CN"/>
        </w:rPr>
        <w:t>表2 各点由重复性引入的相对不确定度</w:t>
      </w:r>
    </w:p>
    <w:tbl>
      <w:tblPr>
        <w:tblStyle w:val="8"/>
        <w:tblW w:w="885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91"/>
        <w:gridCol w:w="591"/>
        <w:gridCol w:w="516"/>
        <w:gridCol w:w="516"/>
        <w:gridCol w:w="516"/>
        <w:gridCol w:w="516"/>
        <w:gridCol w:w="591"/>
        <w:gridCol w:w="591"/>
        <w:gridCol w:w="591"/>
        <w:gridCol w:w="591"/>
        <w:gridCol w:w="516"/>
        <w:gridCol w:w="516"/>
        <w:gridCol w:w="516"/>
        <w:gridCol w:w="516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70" w:hRule="atLeast"/>
        </w:trPr>
        <w:tc>
          <w:tcPr>
            <w:tcW w:w="1773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标准皮托管压力值（Pa）</w:t>
            </w:r>
          </w:p>
        </w:tc>
        <w:tc>
          <w:tcPr>
            <w:tcW w:w="1548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标准风速值（m/s）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重复性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相对不确定度</w:t>
            </w:r>
          </w:p>
        </w:tc>
        <w:tc>
          <w:tcPr>
            <w:tcW w:w="1773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S型皮托管压力值（Pa）</w:t>
            </w:r>
          </w:p>
        </w:tc>
        <w:tc>
          <w:tcPr>
            <w:tcW w:w="1548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S型皮托管测量值（m/s）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重复性</w:t>
            </w:r>
          </w:p>
        </w:tc>
        <w:tc>
          <w:tcPr>
            <w:tcW w:w="59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相对不确定度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2.41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7.03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11.26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13.41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13.29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16.97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20.74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23.48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23.47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23.37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24.48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24.36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24.23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22.46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22.45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24.25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26.93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26.75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26.92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5.53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5.57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6.85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6.83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8.75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11.14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16.64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16.63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16.57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21.78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21.72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23.42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23.29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23.25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23.79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23.72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23.20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22.74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22.65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22.61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23.88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23.86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23.71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28.53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28.47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28.52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5.71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5.71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27.88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27.68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5.62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18.75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18.71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20.43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20.73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20.62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21.92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21.74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20.48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20.55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17.83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4.54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4.51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15.16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15.19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13.61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13.49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13.35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13.32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12.62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12.48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12.51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9.89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3.36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0.09%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16.85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16.86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4.39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18.46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18.58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19.51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19.53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20.77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21.34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21.22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0.21%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20.76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21.07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0.13%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21.97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21.88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21.49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21.70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21.69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20.96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14.28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19.91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19.96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4.77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4.78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13.98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0.20%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18.97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18.96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18.78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4.66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4.63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0.08%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17.30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17.19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4.45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4.43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0.19%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position w:val="-28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3.3</w:t>
      </w:r>
      <w:r>
        <w:rPr>
          <w:rFonts w:ascii="Times New Roman" w:hAnsi="Times New Roman" w:eastAsia="宋体" w:cs="Times New Roman"/>
          <w:sz w:val="24"/>
          <w:szCs w:val="24"/>
        </w:rPr>
        <w:t>.5 合成标准不确定度的评价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3.3</w:t>
      </w:r>
      <w:r>
        <w:rPr>
          <w:rFonts w:ascii="Times New Roman" w:hAnsi="Times New Roman" w:eastAsia="宋体" w:cs="Times New Roman"/>
          <w:sz w:val="24"/>
          <w:szCs w:val="24"/>
        </w:rPr>
        <w:t>.5.1 标准不确定度汇总表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表</w:t>
      </w:r>
      <w:r>
        <w:rPr>
          <w:rFonts w:hint="eastAsia" w:ascii="Times New Roman" w:hAnsi="Times New Roman" w:cs="Times New Roman"/>
          <w:szCs w:val="21"/>
          <w:lang w:val="en-US" w:eastAsia="zh-CN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标准不确定度汇总表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748"/>
        <w:gridCol w:w="1785"/>
        <w:gridCol w:w="174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符号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不确定度来源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输入不确定度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系数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i/>
                <w:iCs/>
                <w:szCs w:val="21"/>
                <w:vertAlign w:val="subscript"/>
              </w:rPr>
              <w:t>i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合成不确定度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3" w:name="OLE_LINK11"/>
            <w:r>
              <w:rPr>
                <w:rFonts w:ascii="Times New Roman" w:hAnsi="Times New Roman" w:eastAsia="宋体" w:cs="Times New Roman"/>
                <w:position w:val="-10"/>
                <w:szCs w:val="21"/>
              </w:rPr>
              <w:object>
                <v:shape id="_x0000_i1044" o:spt="75" type="#_x0000_t75" style="height:16.9pt;width:26.9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44" DrawAspect="Content" ObjectID="_1468075730" r:id="rId14">
                  <o:LockedField>false</o:LockedField>
                </o:OLEObject>
              </w:object>
            </w:r>
            <w:bookmarkEnd w:id="3"/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重复性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43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43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Cs w:val="21"/>
              </w:rPr>
              <w:object>
                <v:shape id="_x0000_i1045" o:spt="75" type="#_x0000_t75" style="height:18.15pt;width:31.3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45" DrawAspect="Content" ObjectID="_1468075731" r:id="rId16">
                  <o:LockedField>false</o:LockedField>
                </o:OLEObject>
              </w:objec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溯源证书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0.32%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-1</w:t>
            </w:r>
          </w:p>
        </w:tc>
        <w:tc>
          <w:tcPr>
            <w:tcW w:w="191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0.32%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合成标准不确定度：</w:t>
            </w:r>
            <w:r>
              <w:rPr>
                <w:rFonts w:ascii="Times New Roman" w:hAnsi="Times New Roman" w:eastAsia="宋体" w:cs="Times New Roman"/>
                <w:position w:val="-12"/>
                <w:szCs w:val="21"/>
              </w:rPr>
              <w:object>
                <v:shape id="_x0000_i1046" o:spt="75" type="#_x0000_t75" style="height:18.15pt;width:75.7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46" DrawAspect="Content" ObjectID="_1468075732" r:id="rId18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Cs w:val="21"/>
              </w:rPr>
              <w:t>，扩展不确定度：</w:t>
            </w:r>
            <w:bookmarkStart w:id="4" w:name="OLE_LINK12"/>
            <w:r>
              <w:rPr>
                <w:rFonts w:ascii="Times New Roman" w:hAnsi="Times New Roman" w:eastAsia="宋体" w:cs="Times New Roman"/>
                <w:position w:val="-10"/>
                <w:szCs w:val="21"/>
              </w:rPr>
              <w:object>
                <v:shape id="_x0000_i1047" o:spt="75" type="#_x0000_t75" style="height:16.9pt;width:53.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47" DrawAspect="Content" ObjectID="_1468075733" r:id="rId20">
                  <o:LockedField>false</o:LockedField>
                </o:OLEObject>
              </w:object>
            </w:r>
            <w:bookmarkEnd w:id="4"/>
            <w:r>
              <w:rPr>
                <w:rFonts w:ascii="Times New Roman" w:hAnsi="Times New Roman" w:eastAsia="宋体" w:cs="Times New Roman"/>
                <w:szCs w:val="21"/>
              </w:rPr>
              <w:t>，k=2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3.3</w:t>
      </w:r>
      <w:r>
        <w:rPr>
          <w:rFonts w:ascii="Times New Roman" w:hAnsi="Times New Roman" w:eastAsia="宋体" w:cs="Times New Roman"/>
          <w:sz w:val="24"/>
          <w:szCs w:val="24"/>
        </w:rPr>
        <w:t>.5.2 合成标准不确定度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输入量彼此独立不相关，所以合成标准不确定度按下式得到：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14"/>
          <w:sz w:val="24"/>
          <w:szCs w:val="24"/>
        </w:rPr>
        <w:object>
          <v:shape id="_x0000_i1048" o:spt="75" type="#_x0000_t75" style="height:23.2pt;width:160.3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3" ShapeID="_x0000_i1048" DrawAspect="Content" ObjectID="_1468075734" r:id="rId2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>3.3</w:t>
      </w:r>
      <w:bookmarkStart w:id="5" w:name="_GoBack"/>
      <w:bookmarkEnd w:id="5"/>
      <w:r>
        <w:rPr>
          <w:rFonts w:ascii="Times New Roman" w:hAnsi="Times New Roman" w:eastAsia="宋体" w:cs="Times New Roman"/>
          <w:sz w:val="24"/>
          <w:szCs w:val="24"/>
        </w:rPr>
        <w:t>.6 扩展不确定度的评定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固定源烟气流速（量）参比方法用S型皮托管的校准</w:t>
      </w:r>
      <w:r>
        <w:rPr>
          <w:rFonts w:ascii="Times New Roman" w:hAnsi="Times New Roman" w:eastAsia="宋体" w:cs="Times New Roman"/>
          <w:sz w:val="24"/>
          <w:szCs w:val="24"/>
        </w:rPr>
        <w:t>，取覆盖因子k=2,校准结果的不确定度为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position w:val="-10"/>
          <w:sz w:val="24"/>
          <w:szCs w:val="24"/>
        </w:rPr>
        <w:object>
          <v:shape id="_x0000_i1049" o:spt="75" type="#_x0000_t75" style="height:16.9pt;width:128.9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49" DrawAspect="Content" ObjectID="_1468075735" r:id="rId24">
            <o:LockedField>false</o:LockedField>
          </o:OLEObject>
        </w:objec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Chars="200"/>
      </w:pPr>
    </w:p>
    <w:sectPr>
      <w:pgSz w:w="12240" w:h="15840"/>
      <w:pgMar w:top="1440" w:right="1797" w:bottom="1440" w:left="179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Y2E0MGU5ODdiNDEyOTgxNmVjYTJiM2Q3MDdkZTgifQ=="/>
  </w:docVars>
  <w:rsids>
    <w:rsidRoot w:val="00926EDA"/>
    <w:rsid w:val="0001361F"/>
    <w:rsid w:val="0001467F"/>
    <w:rsid w:val="00064333"/>
    <w:rsid w:val="000A025C"/>
    <w:rsid w:val="000C343F"/>
    <w:rsid w:val="000E46C9"/>
    <w:rsid w:val="001232B0"/>
    <w:rsid w:val="00146343"/>
    <w:rsid w:val="00167AFB"/>
    <w:rsid w:val="001706A6"/>
    <w:rsid w:val="00183F58"/>
    <w:rsid w:val="001A2BDD"/>
    <w:rsid w:val="001B7F6C"/>
    <w:rsid w:val="001D265A"/>
    <w:rsid w:val="001F5526"/>
    <w:rsid w:val="00224B81"/>
    <w:rsid w:val="00234126"/>
    <w:rsid w:val="002718EF"/>
    <w:rsid w:val="002734EE"/>
    <w:rsid w:val="0029285B"/>
    <w:rsid w:val="002B6DA2"/>
    <w:rsid w:val="002E0506"/>
    <w:rsid w:val="00322D94"/>
    <w:rsid w:val="003440E4"/>
    <w:rsid w:val="00362A7D"/>
    <w:rsid w:val="003E3232"/>
    <w:rsid w:val="00420848"/>
    <w:rsid w:val="00431F78"/>
    <w:rsid w:val="00455D86"/>
    <w:rsid w:val="0046397E"/>
    <w:rsid w:val="004C1D2F"/>
    <w:rsid w:val="004C431C"/>
    <w:rsid w:val="00504F8C"/>
    <w:rsid w:val="00527C72"/>
    <w:rsid w:val="005415E5"/>
    <w:rsid w:val="00553F11"/>
    <w:rsid w:val="00562D00"/>
    <w:rsid w:val="005E70B5"/>
    <w:rsid w:val="00606812"/>
    <w:rsid w:val="0064274E"/>
    <w:rsid w:val="006850AC"/>
    <w:rsid w:val="006B1ADE"/>
    <w:rsid w:val="006D0A01"/>
    <w:rsid w:val="006D1D27"/>
    <w:rsid w:val="0070173E"/>
    <w:rsid w:val="007407B1"/>
    <w:rsid w:val="00824979"/>
    <w:rsid w:val="0084359B"/>
    <w:rsid w:val="00895D2E"/>
    <w:rsid w:val="008E7256"/>
    <w:rsid w:val="008F170B"/>
    <w:rsid w:val="00926EDA"/>
    <w:rsid w:val="00934F85"/>
    <w:rsid w:val="00982DDE"/>
    <w:rsid w:val="009A752E"/>
    <w:rsid w:val="009B757B"/>
    <w:rsid w:val="009C45B0"/>
    <w:rsid w:val="009F1EDB"/>
    <w:rsid w:val="00A2025F"/>
    <w:rsid w:val="00A35CAE"/>
    <w:rsid w:val="00A42536"/>
    <w:rsid w:val="00A70AEB"/>
    <w:rsid w:val="00A8149D"/>
    <w:rsid w:val="00AD2173"/>
    <w:rsid w:val="00B27C27"/>
    <w:rsid w:val="00B33A56"/>
    <w:rsid w:val="00B34443"/>
    <w:rsid w:val="00B8248A"/>
    <w:rsid w:val="00BB5796"/>
    <w:rsid w:val="00BD7F15"/>
    <w:rsid w:val="00C133FD"/>
    <w:rsid w:val="00C17440"/>
    <w:rsid w:val="00C3302F"/>
    <w:rsid w:val="00C37956"/>
    <w:rsid w:val="00C53701"/>
    <w:rsid w:val="00C60AD2"/>
    <w:rsid w:val="00CE2F66"/>
    <w:rsid w:val="00CE7F2A"/>
    <w:rsid w:val="00CF16F6"/>
    <w:rsid w:val="00CF2D13"/>
    <w:rsid w:val="00D274A1"/>
    <w:rsid w:val="00D7619B"/>
    <w:rsid w:val="00D814F3"/>
    <w:rsid w:val="00D83617"/>
    <w:rsid w:val="00D9022D"/>
    <w:rsid w:val="00E45159"/>
    <w:rsid w:val="00E576AB"/>
    <w:rsid w:val="00E67B4F"/>
    <w:rsid w:val="00EB4EA4"/>
    <w:rsid w:val="00EF5E52"/>
    <w:rsid w:val="00F2522D"/>
    <w:rsid w:val="00F52F18"/>
    <w:rsid w:val="00F61A32"/>
    <w:rsid w:val="00F83309"/>
    <w:rsid w:val="00FA12CC"/>
    <w:rsid w:val="03F34C20"/>
    <w:rsid w:val="08E45BF0"/>
    <w:rsid w:val="0F470958"/>
    <w:rsid w:val="156E30E2"/>
    <w:rsid w:val="197832BB"/>
    <w:rsid w:val="1F31162B"/>
    <w:rsid w:val="212471FF"/>
    <w:rsid w:val="22AD7405"/>
    <w:rsid w:val="28AE7C93"/>
    <w:rsid w:val="29FF403B"/>
    <w:rsid w:val="2AA50EFC"/>
    <w:rsid w:val="37100615"/>
    <w:rsid w:val="39A9630E"/>
    <w:rsid w:val="3BA448B8"/>
    <w:rsid w:val="3BA91570"/>
    <w:rsid w:val="3C22550B"/>
    <w:rsid w:val="3D6A055B"/>
    <w:rsid w:val="3E0B3C04"/>
    <w:rsid w:val="3F703015"/>
    <w:rsid w:val="42221735"/>
    <w:rsid w:val="430A4ED2"/>
    <w:rsid w:val="45A9061B"/>
    <w:rsid w:val="4C5646F3"/>
    <w:rsid w:val="505A2196"/>
    <w:rsid w:val="52F83A10"/>
    <w:rsid w:val="59177619"/>
    <w:rsid w:val="60771CEC"/>
    <w:rsid w:val="621A101B"/>
    <w:rsid w:val="63B7698A"/>
    <w:rsid w:val="6449399F"/>
    <w:rsid w:val="66287D10"/>
    <w:rsid w:val="6B930322"/>
    <w:rsid w:val="6E8D37FA"/>
    <w:rsid w:val="6FD9756B"/>
    <w:rsid w:val="70B14DA6"/>
    <w:rsid w:val="7264572A"/>
    <w:rsid w:val="77784A9B"/>
    <w:rsid w:val="77C47AB5"/>
    <w:rsid w:val="78E4670D"/>
    <w:rsid w:val="7FA57CF9"/>
    <w:rsid w:val="7FB60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11"/>
    <w:qFormat/>
    <w:uiPriority w:val="0"/>
    <w:pPr>
      <w:keepNext/>
      <w:spacing w:line="360" w:lineRule="auto"/>
      <w:jc w:val="left"/>
      <w:outlineLvl w:val="2"/>
    </w:pPr>
    <w:rPr>
      <w:rFonts w:ascii="黑体" w:eastAsia="Times New Roman"/>
      <w:sz w:val="2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annotation text"/>
    <w:semiHidden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Balloon Text"/>
    <w:basedOn w:val="1"/>
    <w:link w:val="12"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3 字符"/>
    <w:link w:val="2"/>
    <w:uiPriority w:val="0"/>
    <w:rPr>
      <w:rFonts w:ascii="黑体" w:eastAsia="Times New Roman"/>
      <w:kern w:val="2"/>
      <w:sz w:val="24"/>
    </w:rPr>
  </w:style>
  <w:style w:type="character" w:customStyle="1" w:styleId="12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5">
    <w:name w:val="_Style 13"/>
    <w:qFormat/>
    <w:uiPriority w:val="19"/>
    <w:rPr>
      <w:i/>
      <w:iCs/>
      <w:color w:val="404040"/>
    </w:rPr>
  </w:style>
  <w:style w:type="paragraph" w:styleId="16">
    <w:name w:val="No Spacing"/>
    <w:qFormat/>
    <w:uiPriority w:val="1"/>
    <w:pPr>
      <w:widowControl w:val="0"/>
      <w:spacing w:line="300" w:lineRule="auto"/>
      <w:ind w:firstLine="200" w:firstLineChars="200"/>
      <w:jc w:val="both"/>
    </w:pPr>
    <w:rPr>
      <w:rFonts w:ascii="等线" w:hAnsi="等线" w:eastAsia="宋体" w:cs="Times New Roman"/>
      <w:kern w:val="2"/>
      <w:sz w:val="24"/>
      <w:szCs w:val="22"/>
      <w:lang w:val="en-US" w:eastAsia="zh-CN" w:bidi="ar-SA"/>
    </w:rPr>
  </w:style>
  <w:style w:type="paragraph" w:customStyle="1" w:styleId="17">
    <w:name w:val="标准文件_段"/>
    <w:qFormat/>
    <w:uiPriority w:val="0"/>
    <w:pPr>
      <w:autoSpaceDE w:val="0"/>
      <w:autoSpaceDN w:val="0"/>
      <w:adjustRightInd w:val="0"/>
      <w:snapToGrid w:val="0"/>
      <w:spacing w:line="360" w:lineRule="auto"/>
    </w:pPr>
    <w:rPr>
      <w:rFonts w:ascii="Times New Roman" w:hAnsi="Times New Roman" w:eastAsia="宋体" w:cs="Times New Roman"/>
      <w:spacing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芳向电脑工作室</Company>
  <Pages>13</Pages>
  <Words>1281</Words>
  <Characters>7306</Characters>
  <Lines>60</Lines>
  <Paragraphs>17</Paragraphs>
  <TotalTime>1</TotalTime>
  <ScaleCrop>false</ScaleCrop>
  <LinksUpToDate>false</LinksUpToDate>
  <CharactersWithSpaces>8570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2017-07-17T07:32:00Z</dcterms:created>
  <dc:creator>李晓仲</dc:creator>
  <cp:lastModifiedBy>蓝色天空</cp:lastModifiedBy>
  <cp:lastPrinted>2010-08-25T08:02:00Z</cp:lastPrinted>
  <dcterms:modified xsi:type="dcterms:W3CDTF">2023-11-03T01:30:39Z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098041BDEEDE4AE4A4F90250069C33A7</vt:lpwstr>
  </property>
</Properties>
</file>