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1"/>
        <w:tblW w:w="817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  <w:jc w:val="center"/>
        </w:trPr>
        <w:tc>
          <w:tcPr>
            <w:tcW w:w="8177" w:type="dxa"/>
          </w:tcPr>
          <w:p>
            <w:pPr>
              <w:jc w:val="left"/>
              <w:rPr>
                <w:rFonts w:hint="eastAsia" w:eastAsia="黑体"/>
                <w:color w:val="000000"/>
                <w:spacing w:val="20"/>
                <w:sz w:val="32"/>
              </w:rPr>
            </w:pPr>
            <w:r>
              <w:rPr>
                <w:rFonts w:eastAsia="黑体"/>
                <w:color w:val="1E1C11" w:themeColor="background2" w:themeShade="1A"/>
                <w:spacing w:val="20"/>
                <w:sz w:val="28"/>
                <w:szCs w:val="28"/>
              </w:rPr>
              <w:t>中华人民共和国国家技术规范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atLeast"/>
          <w:jc w:val="center"/>
        </w:trPr>
        <w:tc>
          <w:tcPr>
            <w:tcW w:w="8177" w:type="dxa"/>
          </w:tcPr>
          <w:p>
            <w:pPr>
              <w:jc w:val="center"/>
              <w:rPr>
                <w:rFonts w:hint="eastAsia" w:eastAsia="黑体"/>
                <w:color w:val="000000"/>
                <w:spacing w:val="20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  <w:jc w:val="center"/>
        </w:trPr>
        <w:tc>
          <w:tcPr>
            <w:tcW w:w="8177" w:type="dxa"/>
          </w:tcPr>
          <w:p>
            <w:pPr>
              <w:jc w:val="center"/>
              <w:rPr>
                <w:rFonts w:hint="eastAsia" w:eastAsia="黑体"/>
                <w:color w:val="000000"/>
                <w:spacing w:val="20"/>
                <w:sz w:val="44"/>
              </w:rPr>
            </w:pPr>
            <w:r>
              <w:rPr>
                <w:rFonts w:hint="eastAsia" w:eastAsia="黑体"/>
                <w:color w:val="000000"/>
                <w:spacing w:val="20"/>
                <w:sz w:val="44"/>
              </w:rPr>
              <w:t>编制说明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6" w:hRule="atLeast"/>
          <w:jc w:val="center"/>
        </w:trPr>
        <w:tc>
          <w:tcPr>
            <w:tcW w:w="8177" w:type="dxa"/>
          </w:tcPr>
          <w:p>
            <w:pPr>
              <w:ind w:firstLine="532" w:firstLineChars="140"/>
              <w:rPr>
                <w:rFonts w:eastAsia="黑体"/>
                <w:color w:val="1E1C11" w:themeColor="background2" w:themeShade="1A"/>
                <w:sz w:val="30"/>
                <w:szCs w:val="30"/>
              </w:rPr>
            </w:pPr>
            <w:r>
              <w:rPr>
                <w:rFonts w:eastAsia="黑体"/>
                <w:color w:val="1E1C11" w:themeColor="background2" w:themeShade="1A"/>
                <w:spacing w:val="40"/>
                <w:sz w:val="30"/>
                <w:szCs w:val="30"/>
              </w:rPr>
              <w:t>项目名</w:t>
            </w:r>
            <w:r>
              <w:rPr>
                <w:rFonts w:eastAsia="黑体"/>
                <w:color w:val="1E1C11" w:themeColor="background2" w:themeShade="1A"/>
                <w:sz w:val="30"/>
                <w:szCs w:val="30"/>
              </w:rPr>
              <w:t xml:space="preserve">称 </w:t>
            </w:r>
            <w:r>
              <w:rPr>
                <w:rFonts w:eastAsia="黑体"/>
                <w:color w:val="1E1C11" w:themeColor="background2" w:themeShade="1A"/>
                <w:spacing w:val="40"/>
                <w:sz w:val="30"/>
                <w:szCs w:val="30"/>
              </w:rPr>
              <w:t>：</w:t>
            </w:r>
            <w:r>
              <w:rPr>
                <w:rFonts w:eastAsia="黑体"/>
                <w:color w:val="1E1C11" w:themeColor="background2" w:themeShade="1A"/>
                <w:spacing w:val="40"/>
                <w:sz w:val="30"/>
                <w:szCs w:val="30"/>
                <w:u w:val="single"/>
              </w:rPr>
              <w:t xml:space="preserve"> </w:t>
            </w:r>
            <w:r>
              <w:rPr>
                <w:rFonts w:eastAsia="黑体"/>
                <w:b/>
                <w:color w:val="1E1C11" w:themeColor="background2" w:themeShade="1A"/>
                <w:spacing w:val="40"/>
                <w:sz w:val="30"/>
                <w:szCs w:val="30"/>
                <w:u w:val="single"/>
              </w:rPr>
              <w:t xml:space="preserve"> </w:t>
            </w:r>
            <w:r>
              <w:rPr>
                <w:rFonts w:hint="eastAsia" w:eastAsia="黑体"/>
                <w:b/>
                <w:color w:val="1E1C11" w:themeColor="background2" w:themeShade="1A"/>
                <w:spacing w:val="40"/>
                <w:sz w:val="30"/>
                <w:szCs w:val="30"/>
                <w:u w:val="single"/>
                <w:lang w:val="en-US" w:eastAsia="zh-CN"/>
              </w:rPr>
              <w:t xml:space="preserve">  </w:t>
            </w:r>
            <w:r>
              <w:rPr>
                <w:rFonts w:eastAsia="黑体"/>
                <w:b/>
                <w:color w:val="1E1C11" w:themeColor="background2" w:themeShade="1A"/>
                <w:spacing w:val="40"/>
                <w:sz w:val="30"/>
                <w:szCs w:val="30"/>
                <w:u w:val="single"/>
              </w:rPr>
              <w:t xml:space="preserve"> </w:t>
            </w:r>
            <w:r>
              <w:rPr>
                <w:rFonts w:hint="eastAsia" w:eastAsia="黑体"/>
                <w:b/>
                <w:color w:val="1E1C11" w:themeColor="background2" w:themeShade="1A"/>
                <w:spacing w:val="40"/>
                <w:sz w:val="30"/>
                <w:szCs w:val="30"/>
                <w:u w:val="single"/>
                <w:lang w:eastAsia="zh-CN"/>
              </w:rPr>
              <w:t>靶球</w:t>
            </w:r>
            <w:r>
              <w:rPr>
                <w:rFonts w:eastAsia="黑体"/>
                <w:b/>
                <w:color w:val="1E1C11" w:themeColor="background2" w:themeShade="1A"/>
                <w:spacing w:val="40"/>
                <w:sz w:val="30"/>
                <w:szCs w:val="30"/>
                <w:u w:val="single"/>
              </w:rPr>
              <w:t xml:space="preserve">校准规范 </w:t>
            </w:r>
            <w:r>
              <w:rPr>
                <w:rFonts w:hint="eastAsia" w:eastAsia="黑体"/>
                <w:b/>
                <w:color w:val="1E1C11" w:themeColor="background2" w:themeShade="1A"/>
                <w:spacing w:val="40"/>
                <w:sz w:val="30"/>
                <w:szCs w:val="30"/>
                <w:u w:val="single"/>
                <w:lang w:val="en-US" w:eastAsia="zh-CN"/>
              </w:rPr>
              <w:t xml:space="preserve">     </w:t>
            </w:r>
            <w:r>
              <w:rPr>
                <w:rFonts w:eastAsia="黑体"/>
                <w:b/>
                <w:color w:val="1E1C11" w:themeColor="background2" w:themeShade="1A"/>
                <w:spacing w:val="40"/>
                <w:sz w:val="30"/>
                <w:szCs w:val="30"/>
                <w:u w:val="single"/>
              </w:rPr>
              <w:t xml:space="preserve">  </w:t>
            </w:r>
          </w:p>
          <w:p>
            <w:pPr>
              <w:ind w:firstLine="532" w:firstLineChars="140"/>
              <w:rPr>
                <w:rFonts w:eastAsia="黑体"/>
                <w:color w:val="1E1C11" w:themeColor="background2" w:themeShade="1A"/>
                <w:spacing w:val="20"/>
                <w:sz w:val="28"/>
                <w:u w:val="single"/>
              </w:rPr>
            </w:pPr>
            <w:r>
              <w:rPr>
                <w:rFonts w:eastAsia="黑体"/>
                <w:color w:val="1E1C11" w:themeColor="background2" w:themeShade="1A"/>
                <w:spacing w:val="40"/>
                <w:sz w:val="30"/>
                <w:szCs w:val="30"/>
              </w:rPr>
              <w:t>稿件阶段：</w:t>
            </w:r>
            <w:r>
              <w:rPr>
                <w:rFonts w:eastAsia="黑体"/>
                <w:color w:val="1E1C11" w:themeColor="background2" w:themeShade="1A"/>
                <w:sz w:val="30"/>
                <w:szCs w:val="30"/>
                <w:u w:val="single"/>
              </w:rPr>
              <w:t xml:space="preserve">      </w:t>
            </w:r>
            <w:r>
              <w:rPr>
                <w:rFonts w:eastAsia="黑体"/>
                <w:b/>
                <w:color w:val="1E1C11" w:themeColor="background2" w:themeShade="1A"/>
                <w:spacing w:val="40"/>
                <w:sz w:val="30"/>
                <w:szCs w:val="30"/>
                <w:u w:val="single"/>
              </w:rPr>
              <w:t xml:space="preserve">  </w:t>
            </w:r>
            <w:r>
              <w:rPr>
                <w:rFonts w:hint="eastAsia" w:eastAsia="黑体"/>
                <w:b/>
                <w:color w:val="1E1C11" w:themeColor="background2" w:themeShade="1A"/>
                <w:spacing w:val="40"/>
                <w:sz w:val="30"/>
                <w:szCs w:val="30"/>
                <w:u w:val="single"/>
                <w:lang w:val="en-US" w:eastAsia="zh-CN"/>
              </w:rPr>
              <w:t>征求意见</w:t>
            </w:r>
            <w:r>
              <w:rPr>
                <w:rFonts w:eastAsia="黑体"/>
                <w:b/>
                <w:color w:val="1E1C11" w:themeColor="background2" w:themeShade="1A"/>
                <w:spacing w:val="40"/>
                <w:sz w:val="30"/>
                <w:szCs w:val="30"/>
                <w:u w:val="single"/>
              </w:rPr>
              <w:t>稿</w:t>
            </w:r>
            <w:r>
              <w:rPr>
                <w:rFonts w:eastAsia="黑体"/>
                <w:color w:val="1E1C11" w:themeColor="background2" w:themeShade="1A"/>
                <w:spacing w:val="20"/>
                <w:sz w:val="28"/>
                <w:u w:val="single"/>
              </w:rPr>
              <w:t xml:space="preserve">      </w:t>
            </w:r>
            <w:r>
              <w:rPr>
                <w:rFonts w:hint="eastAsia" w:eastAsia="黑体"/>
                <w:color w:val="1E1C11" w:themeColor="background2" w:themeShade="1A"/>
                <w:spacing w:val="20"/>
                <w:sz w:val="28"/>
                <w:u w:val="single"/>
                <w:lang w:val="en-US" w:eastAsia="zh-CN"/>
              </w:rPr>
              <w:t xml:space="preserve"> </w:t>
            </w:r>
            <w:r>
              <w:rPr>
                <w:rFonts w:eastAsia="黑体"/>
                <w:color w:val="1E1C11" w:themeColor="background2" w:themeShade="1A"/>
                <w:spacing w:val="20"/>
                <w:sz w:val="28"/>
                <w:u w:val="single"/>
              </w:rPr>
              <w:t xml:space="preserve">  </w:t>
            </w:r>
            <w:r>
              <w:rPr>
                <w:rFonts w:hint="eastAsia" w:eastAsia="黑体"/>
                <w:color w:val="1E1C11" w:themeColor="background2" w:themeShade="1A"/>
                <w:spacing w:val="20"/>
                <w:sz w:val="28"/>
                <w:u w:val="single"/>
                <w:lang w:val="en-US" w:eastAsia="zh-CN"/>
              </w:rPr>
              <w:t xml:space="preserve"> </w:t>
            </w:r>
            <w:r>
              <w:rPr>
                <w:rFonts w:eastAsia="黑体"/>
                <w:color w:val="1E1C11" w:themeColor="background2" w:themeShade="1A"/>
                <w:spacing w:val="20"/>
                <w:sz w:val="28"/>
                <w:u w:val="single"/>
              </w:rPr>
              <w:t xml:space="preserve">  </w:t>
            </w:r>
          </w:p>
          <w:p>
            <w:pPr>
              <w:ind w:firstLine="532" w:firstLineChars="140"/>
              <w:rPr>
                <w:rFonts w:eastAsia="黑体"/>
                <w:color w:val="1E1C11" w:themeColor="background2" w:themeShade="1A"/>
                <w:sz w:val="30"/>
                <w:szCs w:val="30"/>
                <w:u w:val="single"/>
              </w:rPr>
            </w:pPr>
            <w:r>
              <w:rPr>
                <w:rFonts w:eastAsia="黑体"/>
                <w:color w:val="1E1C11" w:themeColor="background2" w:themeShade="1A"/>
                <w:spacing w:val="40"/>
                <w:sz w:val="30"/>
                <w:szCs w:val="30"/>
              </w:rPr>
              <w:t>归口单位：</w:t>
            </w:r>
            <w:r>
              <w:rPr>
                <w:rFonts w:eastAsia="黑体"/>
                <w:color w:val="1E1C11" w:themeColor="background2" w:themeShade="1A"/>
                <w:sz w:val="30"/>
                <w:szCs w:val="30"/>
                <w:u w:val="single"/>
              </w:rPr>
              <w:t xml:space="preserve">  </w:t>
            </w:r>
            <w:r>
              <w:rPr>
                <w:rFonts w:eastAsia="黑体"/>
                <w:b/>
                <w:color w:val="1E1C11" w:themeColor="background2" w:themeShade="1A"/>
                <w:sz w:val="30"/>
                <w:szCs w:val="30"/>
                <w:u w:val="single"/>
              </w:rPr>
              <w:t>全国几何量工程参量计量技术委员会</w:t>
            </w:r>
            <w:r>
              <w:rPr>
                <w:rFonts w:eastAsia="黑体"/>
                <w:color w:val="1E1C11" w:themeColor="background2" w:themeShade="1A"/>
                <w:sz w:val="30"/>
                <w:szCs w:val="30"/>
                <w:u w:val="single"/>
              </w:rPr>
              <w:t xml:space="preserve"> </w:t>
            </w:r>
          </w:p>
          <w:p>
            <w:pPr>
              <w:jc w:val="center"/>
              <w:rPr>
                <w:rFonts w:hint="eastAsia" w:eastAsia="黑体"/>
                <w:color w:val="000000"/>
                <w:spacing w:val="20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8177" w:type="dxa"/>
          </w:tcPr>
          <w:p>
            <w:pPr>
              <w:jc w:val="center"/>
              <w:rPr>
                <w:color w:val="1E1C11" w:themeColor="background2" w:themeShade="1A"/>
                <w:sz w:val="30"/>
                <w:szCs w:val="30"/>
              </w:rPr>
            </w:pPr>
            <w:r>
              <w:rPr>
                <w:color w:val="1E1C11" w:themeColor="background2" w:themeShade="1A"/>
                <w:sz w:val="30"/>
                <w:szCs w:val="30"/>
              </w:rPr>
              <w:t>《</w:t>
            </w:r>
            <w:r>
              <w:rPr>
                <w:rFonts w:hint="eastAsia"/>
                <w:color w:val="1E1C11" w:themeColor="background2" w:themeShade="1A"/>
                <w:sz w:val="30"/>
                <w:szCs w:val="30"/>
                <w:lang w:eastAsia="zh-CN"/>
              </w:rPr>
              <w:t>靶球</w:t>
            </w:r>
            <w:r>
              <w:rPr>
                <w:color w:val="1E1C11" w:themeColor="background2" w:themeShade="1A"/>
                <w:sz w:val="30"/>
                <w:szCs w:val="30"/>
              </w:rPr>
              <w:t>校准规范》编制组</w:t>
            </w:r>
          </w:p>
          <w:p>
            <w:pPr>
              <w:jc w:val="center"/>
              <w:rPr>
                <w:rFonts w:hint="eastAsia" w:eastAsia="黑体"/>
                <w:color w:val="000000"/>
                <w:sz w:val="28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color w:val="000000"/>
                <w:sz w:val="30"/>
                <w:szCs w:val="30"/>
              </w:rPr>
              <w:t>二○</w:t>
            </w:r>
            <w:r>
              <w:rPr>
                <w:rFonts w:hint="eastAsia"/>
                <w:color w:val="000000"/>
                <w:sz w:val="30"/>
                <w:szCs w:val="30"/>
                <w:lang w:val="en-US" w:eastAsia="zh-CN"/>
              </w:rPr>
              <w:t>二四</w:t>
            </w:r>
            <w:r>
              <w:rPr>
                <w:rFonts w:hint="eastAsia"/>
                <w:color w:val="000000"/>
                <w:sz w:val="30"/>
                <w:szCs w:val="30"/>
              </w:rPr>
              <w:t>年</w:t>
            </w:r>
            <w:r>
              <w:rPr>
                <w:rFonts w:hint="eastAsia"/>
                <w:color w:val="000000"/>
                <w:sz w:val="30"/>
                <w:szCs w:val="30"/>
                <w:lang w:val="en-US" w:eastAsia="zh-CN"/>
              </w:rPr>
              <w:t>四</w:t>
            </w:r>
            <w:r>
              <w:rPr>
                <w:rFonts w:hint="eastAsia"/>
                <w:color w:val="000000"/>
                <w:sz w:val="30"/>
                <w:szCs w:val="30"/>
              </w:rPr>
              <w:t>月</w:t>
            </w:r>
          </w:p>
        </w:tc>
      </w:tr>
    </w:tbl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>
      <w:pPr>
        <w:jc w:val="center"/>
        <w:rPr>
          <w:rFonts w:hint="eastAsia" w:ascii="黑体" w:eastAsia="黑体"/>
          <w:color w:val="000000"/>
          <w:sz w:val="32"/>
        </w:rPr>
      </w:pPr>
      <w:r>
        <w:rPr>
          <w:rFonts w:hint="eastAsia"/>
          <w:b/>
          <w:bCs/>
          <w:color w:val="000000"/>
          <w:sz w:val="28"/>
          <w:lang w:eastAsia="zh-CN"/>
        </w:rPr>
        <w:t>靶球</w:t>
      </w:r>
      <w:r>
        <w:rPr>
          <w:rFonts w:hint="eastAsia"/>
          <w:b/>
          <w:bCs/>
          <w:color w:val="000000"/>
          <w:sz w:val="28"/>
        </w:rPr>
        <w:t>校准规范编制说明</w:t>
      </w:r>
    </w:p>
    <w:p>
      <w:pPr>
        <w:spacing w:line="307" w:lineRule="auto"/>
        <w:rPr>
          <w:rFonts w:hint="eastAsia" w:ascii="宋体" w:hAnsi="宋体"/>
          <w:color w:val="000000"/>
          <w:sz w:val="24"/>
        </w:rPr>
      </w:pPr>
    </w:p>
    <w:p>
      <w:pPr>
        <w:numPr>
          <w:ilvl w:val="0"/>
          <w:numId w:val="1"/>
        </w:numPr>
        <w:spacing w:line="480" w:lineRule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任务来源及计划要求</w:t>
      </w:r>
    </w:p>
    <w:p>
      <w:pPr>
        <w:spacing w:line="307" w:lineRule="auto"/>
        <w:rPr>
          <w:color w:val="000000"/>
          <w:sz w:val="24"/>
        </w:rPr>
      </w:pPr>
      <w:r>
        <w:rPr>
          <w:rFonts w:hint="eastAsia" w:hAnsi="宋体"/>
          <w:color w:val="000000"/>
          <w:sz w:val="24"/>
        </w:rPr>
        <w:t xml:space="preserve">1.1 </w:t>
      </w:r>
      <w:r>
        <w:rPr>
          <w:rFonts w:hAnsi="宋体"/>
          <w:color w:val="000000"/>
          <w:sz w:val="24"/>
        </w:rPr>
        <w:t>任务来源：</w:t>
      </w:r>
    </w:p>
    <w:p>
      <w:pPr>
        <w:spacing w:line="307" w:lineRule="auto"/>
        <w:ind w:firstLine="480"/>
        <w:rPr>
          <w:rFonts w:hAnsi="宋体"/>
          <w:color w:val="000000"/>
          <w:sz w:val="24"/>
        </w:rPr>
      </w:pPr>
      <w:r>
        <w:rPr>
          <w:rFonts w:hAnsi="宋体"/>
          <w:color w:val="000000"/>
          <w:sz w:val="24"/>
        </w:rPr>
        <w:t>制定本</w:t>
      </w:r>
      <w:r>
        <w:rPr>
          <w:rFonts w:hint="eastAsia" w:hAnsi="宋体"/>
          <w:color w:val="000000"/>
          <w:sz w:val="24"/>
        </w:rPr>
        <w:t>规范</w:t>
      </w:r>
      <w:r>
        <w:rPr>
          <w:rFonts w:hAnsi="宋体"/>
          <w:color w:val="000000"/>
          <w:sz w:val="24"/>
        </w:rPr>
        <w:t>是国家质量监督检验检疫</w:t>
      </w:r>
      <w:r>
        <w:rPr>
          <w:rFonts w:hint="eastAsia" w:hAnsi="宋体"/>
          <w:color w:val="000000"/>
          <w:sz w:val="24"/>
        </w:rPr>
        <w:t>总</w:t>
      </w:r>
      <w:r>
        <w:rPr>
          <w:rFonts w:hAnsi="宋体"/>
          <w:color w:val="000000"/>
          <w:sz w:val="24"/>
        </w:rPr>
        <w:t>局</w:t>
      </w:r>
      <w:r>
        <w:rPr>
          <w:rFonts w:hint="eastAsia" w:hAnsi="宋体"/>
          <w:color w:val="000000"/>
          <w:sz w:val="24"/>
        </w:rPr>
        <w:t>全国几何量工程参量计量技术委员会</w:t>
      </w:r>
      <w:r>
        <w:rPr>
          <w:rFonts w:hAnsi="宋体"/>
          <w:color w:val="000000"/>
          <w:sz w:val="24"/>
        </w:rPr>
        <w:t>下达的任务。</w:t>
      </w:r>
    </w:p>
    <w:p>
      <w:pPr>
        <w:spacing w:line="307" w:lineRule="auto"/>
        <w:rPr>
          <w:rFonts w:hint="eastAsia" w:hAnsi="宋体"/>
          <w:color w:val="000000"/>
          <w:sz w:val="24"/>
        </w:rPr>
      </w:pPr>
      <w:r>
        <w:rPr>
          <w:rFonts w:hint="eastAsia" w:hAnsi="宋体"/>
          <w:color w:val="000000"/>
          <w:sz w:val="24"/>
        </w:rPr>
        <w:t xml:space="preserve">1.2 </w:t>
      </w:r>
      <w:r>
        <w:rPr>
          <w:rFonts w:hAnsi="宋体"/>
          <w:color w:val="000000"/>
          <w:sz w:val="24"/>
        </w:rPr>
        <w:t>计划要求：</w:t>
      </w:r>
    </w:p>
    <w:p>
      <w:pPr>
        <w:spacing w:line="307" w:lineRule="auto"/>
        <w:ind w:firstLine="480"/>
        <w:rPr>
          <w:rFonts w:hAnsi="宋体"/>
          <w:color w:val="000000"/>
          <w:sz w:val="24"/>
        </w:rPr>
      </w:pPr>
      <w:r>
        <w:rPr>
          <w:rFonts w:hAnsi="宋体"/>
          <w:color w:val="000000"/>
          <w:sz w:val="24"/>
        </w:rPr>
        <w:t>20</w:t>
      </w:r>
      <w:r>
        <w:rPr>
          <w:rFonts w:hint="eastAsia" w:hAnsi="宋体"/>
          <w:color w:val="000000"/>
          <w:sz w:val="24"/>
          <w:lang w:val="en-US" w:eastAsia="zh-CN"/>
        </w:rPr>
        <w:t>24</w:t>
      </w:r>
      <w:r>
        <w:rPr>
          <w:rFonts w:hAnsi="宋体"/>
          <w:color w:val="000000"/>
          <w:sz w:val="24"/>
        </w:rPr>
        <w:t>年</w:t>
      </w:r>
      <w:r>
        <w:rPr>
          <w:rFonts w:hint="eastAsia" w:hAnsi="宋体"/>
          <w:color w:val="000000"/>
          <w:sz w:val="24"/>
          <w:lang w:val="en-US" w:eastAsia="zh-CN"/>
        </w:rPr>
        <w:t>12</w:t>
      </w:r>
      <w:r>
        <w:rPr>
          <w:rFonts w:hAnsi="宋体"/>
          <w:color w:val="000000"/>
          <w:sz w:val="24"/>
        </w:rPr>
        <w:t>月完成送审稿。</w:t>
      </w:r>
    </w:p>
    <w:p>
      <w:pPr>
        <w:spacing w:line="307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1.3 </w:t>
      </w:r>
      <w:r>
        <w:rPr>
          <w:color w:val="000000"/>
          <w:sz w:val="24"/>
        </w:rPr>
        <w:t>主要意义：</w:t>
      </w:r>
    </w:p>
    <w:p>
      <w:pPr>
        <w:spacing w:line="307" w:lineRule="auto"/>
        <w:ind w:firstLine="480"/>
        <w:rPr>
          <w:rFonts w:hAnsi="宋体"/>
          <w:color w:val="000000"/>
          <w:sz w:val="24"/>
        </w:rPr>
      </w:pPr>
      <w:r>
        <w:rPr>
          <w:rFonts w:hAnsi="宋体"/>
          <w:color w:val="000000"/>
          <w:sz w:val="24"/>
        </w:rPr>
        <w:t>在</w:t>
      </w:r>
      <w:r>
        <w:rPr>
          <w:rFonts w:hint="eastAsia" w:hAnsi="宋体"/>
          <w:color w:val="000000"/>
          <w:sz w:val="24"/>
        </w:rPr>
        <w:t>测绘仪器开展</w:t>
      </w:r>
      <w:r>
        <w:rPr>
          <w:rFonts w:hAnsi="宋体"/>
          <w:color w:val="000000"/>
          <w:sz w:val="24"/>
        </w:rPr>
        <w:t>工作</w:t>
      </w:r>
      <w:r>
        <w:rPr>
          <w:rFonts w:hint="eastAsia" w:hAnsi="宋体"/>
          <w:color w:val="000000"/>
          <w:sz w:val="24"/>
        </w:rPr>
        <w:t>时</w:t>
      </w:r>
      <w:r>
        <w:rPr>
          <w:rFonts w:hAnsi="宋体"/>
          <w:color w:val="000000"/>
          <w:sz w:val="24"/>
        </w:rPr>
        <w:t>，</w:t>
      </w:r>
      <w:r>
        <w:rPr>
          <w:rFonts w:hint="eastAsia" w:hAnsi="宋体"/>
          <w:color w:val="000000"/>
          <w:sz w:val="24"/>
        </w:rPr>
        <w:t>大量使用靶球，它</w:t>
      </w:r>
      <w:r>
        <w:rPr>
          <w:rFonts w:hAnsi="宋体"/>
          <w:color w:val="000000"/>
          <w:sz w:val="24"/>
        </w:rPr>
        <w:t>为激光跟踪仪</w:t>
      </w:r>
      <w:r>
        <w:rPr>
          <w:rFonts w:hint="eastAsia" w:hAnsi="宋体"/>
          <w:color w:val="000000"/>
          <w:sz w:val="24"/>
        </w:rPr>
        <w:t>、</w:t>
      </w:r>
      <w:r>
        <w:rPr>
          <w:rFonts w:hAnsi="宋体"/>
          <w:color w:val="000000"/>
          <w:sz w:val="24"/>
        </w:rPr>
        <w:t>摄影测量系统</w:t>
      </w:r>
      <w:r>
        <w:rPr>
          <w:rFonts w:hint="eastAsia" w:hAnsi="宋体"/>
          <w:color w:val="000000"/>
          <w:sz w:val="24"/>
        </w:rPr>
        <w:t>、经纬仪、全站仪等</w:t>
      </w:r>
      <w:r>
        <w:rPr>
          <w:rFonts w:hAnsi="宋体"/>
          <w:color w:val="000000"/>
          <w:sz w:val="24"/>
        </w:rPr>
        <w:t>提供瞄准</w:t>
      </w:r>
      <w:r>
        <w:rPr>
          <w:rFonts w:hint="eastAsia" w:hAnsi="宋体"/>
          <w:color w:val="000000"/>
          <w:sz w:val="24"/>
        </w:rPr>
        <w:t>靶点。</w:t>
      </w:r>
      <w:r>
        <w:rPr>
          <w:rFonts w:hAnsi="宋体"/>
          <w:color w:val="000000"/>
          <w:sz w:val="24"/>
        </w:rPr>
        <w:t>靶球光学中心与球心重合，</w:t>
      </w:r>
      <w:r>
        <w:rPr>
          <w:rFonts w:hint="eastAsia" w:hAnsi="宋体"/>
          <w:color w:val="000000"/>
          <w:sz w:val="24"/>
        </w:rPr>
        <w:t>将靶球放置在靶座上，将靶座放置在被测件要测量的表面，为</w:t>
      </w:r>
      <w:r>
        <w:rPr>
          <w:rFonts w:hAnsi="宋体"/>
          <w:color w:val="000000"/>
          <w:sz w:val="24"/>
        </w:rPr>
        <w:t>激光跟踪仪、经纬仪、全站仪、摄影测量系统</w:t>
      </w:r>
      <w:r>
        <w:rPr>
          <w:rFonts w:hint="eastAsia" w:hAnsi="宋体"/>
          <w:color w:val="000000"/>
          <w:sz w:val="24"/>
        </w:rPr>
        <w:t>提供可瞄准的参考点，</w:t>
      </w:r>
      <w:r>
        <w:rPr>
          <w:rFonts w:hAnsi="宋体"/>
          <w:color w:val="000000"/>
          <w:sz w:val="24"/>
        </w:rPr>
        <w:t>利用靶球的直径及靶座的尺寸等几何关系，就可以计算出被测件该测量点的空间坐标值。</w:t>
      </w:r>
    </w:p>
    <w:p>
      <w:pPr>
        <w:spacing w:line="307" w:lineRule="auto"/>
        <w:ind w:firstLine="480"/>
        <w:rPr>
          <w:rFonts w:hAnsi="宋体"/>
          <w:color w:val="000000"/>
          <w:sz w:val="24"/>
        </w:rPr>
      </w:pPr>
      <w:r>
        <w:rPr>
          <w:rFonts w:hAnsi="宋体"/>
          <w:color w:val="000000"/>
          <w:sz w:val="24"/>
        </w:rPr>
        <w:t>靶球由</w:t>
      </w:r>
      <w:r>
        <w:rPr>
          <w:rFonts w:hint="eastAsia" w:hAnsi="宋体"/>
          <w:color w:val="000000"/>
          <w:sz w:val="24"/>
        </w:rPr>
        <w:t>一个</w:t>
      </w:r>
      <w:r>
        <w:rPr>
          <w:rFonts w:hAnsi="宋体"/>
          <w:color w:val="000000"/>
          <w:sz w:val="24"/>
        </w:rPr>
        <w:t>球体的</w:t>
      </w:r>
      <w:r>
        <w:rPr>
          <w:rFonts w:hint="eastAsia" w:hAnsi="宋体"/>
          <w:color w:val="000000"/>
          <w:sz w:val="24"/>
        </w:rPr>
        <w:t>主体轮廓</w:t>
      </w:r>
      <w:r>
        <w:rPr>
          <w:rFonts w:hAnsi="宋体"/>
          <w:color w:val="000000"/>
          <w:sz w:val="24"/>
        </w:rPr>
        <w:t>和一个与之相连接的光学靶标组成，光学靶标的中心与球体的球心</w:t>
      </w:r>
      <w:r>
        <w:rPr>
          <w:rFonts w:hint="eastAsia" w:hAnsi="宋体"/>
          <w:color w:val="000000"/>
          <w:sz w:val="24"/>
        </w:rPr>
        <w:t>重合</w:t>
      </w:r>
      <w:r>
        <w:rPr>
          <w:rFonts w:hAnsi="宋体"/>
          <w:color w:val="000000"/>
          <w:sz w:val="24"/>
        </w:rPr>
        <w:t>。激光</w:t>
      </w:r>
      <w:r>
        <w:rPr>
          <w:rFonts w:hint="eastAsia" w:hAnsi="宋体"/>
          <w:color w:val="000000"/>
          <w:sz w:val="24"/>
        </w:rPr>
        <w:t>跟踪</w:t>
      </w:r>
      <w:r>
        <w:rPr>
          <w:rFonts w:hAnsi="宋体"/>
          <w:color w:val="000000"/>
          <w:sz w:val="24"/>
        </w:rPr>
        <w:t>仪靶球的光学靶标一般为一组</w:t>
      </w:r>
      <w:r>
        <w:rPr>
          <w:rFonts w:hint="eastAsia" w:hAnsi="宋体"/>
          <w:color w:val="000000"/>
          <w:sz w:val="24"/>
        </w:rPr>
        <w:t>3面相互垂直的平面镜或玻璃棱镜</w:t>
      </w:r>
      <w:r>
        <w:rPr>
          <w:rFonts w:hAnsi="宋体"/>
          <w:color w:val="000000"/>
          <w:sz w:val="24"/>
        </w:rPr>
        <w:t>构成</w:t>
      </w:r>
      <w:r>
        <w:rPr>
          <w:rFonts w:hint="eastAsia" w:hAnsi="宋体"/>
          <w:color w:val="000000"/>
          <w:sz w:val="24"/>
        </w:rPr>
        <w:t>；</w:t>
      </w:r>
      <w:r>
        <w:rPr>
          <w:rFonts w:hAnsi="宋体"/>
          <w:color w:val="000000"/>
          <w:sz w:val="24"/>
        </w:rPr>
        <w:t>摄影测量系统</w:t>
      </w:r>
      <w:r>
        <w:rPr>
          <w:rFonts w:hint="eastAsia" w:hAnsi="宋体"/>
          <w:color w:val="000000"/>
          <w:sz w:val="24"/>
        </w:rPr>
        <w:t>靶球、全站仪靶球、经纬仪靶球</w:t>
      </w:r>
      <w:r>
        <w:rPr>
          <w:rFonts w:hAnsi="宋体"/>
          <w:color w:val="000000"/>
          <w:sz w:val="24"/>
        </w:rPr>
        <w:t>的光学靶标一般为一个圆点、十字线或</w:t>
      </w:r>
      <w:r>
        <w:rPr>
          <w:rFonts w:hint="eastAsia" w:hAnsi="宋体"/>
          <w:color w:val="000000"/>
          <w:sz w:val="24"/>
        </w:rPr>
        <w:t>环形</w:t>
      </w:r>
      <w:r>
        <w:rPr>
          <w:rFonts w:hAnsi="宋体"/>
          <w:color w:val="000000"/>
          <w:sz w:val="24"/>
        </w:rPr>
        <w:t>等</w:t>
      </w:r>
      <w:r>
        <w:rPr>
          <w:rFonts w:hint="eastAsia" w:hAnsi="宋体"/>
          <w:color w:val="000000"/>
          <w:sz w:val="24"/>
        </w:rPr>
        <w:t>。</w:t>
      </w:r>
    </w:p>
    <w:p>
      <w:pPr>
        <w:spacing w:line="307" w:lineRule="auto"/>
        <w:ind w:firstLine="480"/>
        <w:rPr>
          <w:color w:val="000000"/>
          <w:sz w:val="24"/>
        </w:rPr>
      </w:pPr>
      <w:r>
        <w:rPr>
          <w:rFonts w:hAnsi="宋体"/>
          <w:color w:val="000000"/>
          <w:sz w:val="24"/>
        </w:rPr>
        <w:t>我国</w:t>
      </w:r>
      <w:r>
        <w:rPr>
          <w:rFonts w:hint="eastAsia" w:hAnsi="宋体"/>
          <w:color w:val="000000"/>
          <w:sz w:val="24"/>
        </w:rPr>
        <w:t>省市</w:t>
      </w:r>
      <w:r>
        <w:rPr>
          <w:rFonts w:hAnsi="宋体"/>
          <w:color w:val="000000"/>
          <w:sz w:val="24"/>
        </w:rPr>
        <w:t>级以上的计量单位</w:t>
      </w:r>
      <w:r>
        <w:rPr>
          <w:rFonts w:hint="eastAsia" w:hAnsi="宋体"/>
          <w:color w:val="000000"/>
          <w:sz w:val="24"/>
        </w:rPr>
        <w:t>、各个军工生产科研单位、几何量校准测试实验室</w:t>
      </w:r>
      <w:r>
        <w:rPr>
          <w:rFonts w:hAnsi="宋体"/>
          <w:color w:val="000000"/>
          <w:sz w:val="24"/>
        </w:rPr>
        <w:t>都存在激光跟踪仪</w:t>
      </w:r>
      <w:r>
        <w:rPr>
          <w:rFonts w:hint="eastAsia" w:hAnsi="宋体"/>
          <w:color w:val="000000"/>
          <w:sz w:val="24"/>
        </w:rPr>
        <w:t>、</w:t>
      </w:r>
      <w:r>
        <w:rPr>
          <w:rFonts w:hAnsi="宋体"/>
          <w:color w:val="000000"/>
          <w:sz w:val="24"/>
        </w:rPr>
        <w:t>摄影测量系统</w:t>
      </w:r>
      <w:r>
        <w:rPr>
          <w:rFonts w:hint="eastAsia" w:hAnsi="宋体"/>
          <w:color w:val="000000"/>
          <w:sz w:val="24"/>
        </w:rPr>
        <w:t>、经纬仪、全站仪</w:t>
      </w:r>
      <w:r>
        <w:rPr>
          <w:rFonts w:hint="eastAsia" w:hAnsi="宋体"/>
          <w:color w:val="000000"/>
          <w:sz w:val="24"/>
          <w:lang w:eastAsia="zh-CN"/>
        </w:rPr>
        <w:t>的</w:t>
      </w:r>
      <w:r>
        <w:rPr>
          <w:rFonts w:hAnsi="宋体"/>
          <w:color w:val="000000"/>
          <w:sz w:val="24"/>
        </w:rPr>
        <w:t>计量和使用问题，有</w:t>
      </w:r>
      <w:r>
        <w:rPr>
          <w:rFonts w:hint="eastAsia" w:hAnsi="宋体"/>
          <w:color w:val="000000"/>
          <w:sz w:val="24"/>
          <w:lang w:eastAsia="zh-CN"/>
        </w:rPr>
        <w:t>靶球</w:t>
      </w:r>
      <w:r>
        <w:rPr>
          <w:rFonts w:hAnsi="宋体"/>
          <w:color w:val="000000"/>
          <w:sz w:val="24"/>
        </w:rPr>
        <w:t>的</w:t>
      </w:r>
      <w:r>
        <w:rPr>
          <w:rFonts w:hint="eastAsia" w:hAnsi="宋体"/>
          <w:color w:val="000000"/>
          <w:sz w:val="24"/>
        </w:rPr>
        <w:t>校准</w:t>
      </w:r>
      <w:r>
        <w:rPr>
          <w:rFonts w:hAnsi="宋体"/>
          <w:color w:val="000000"/>
          <w:sz w:val="24"/>
        </w:rPr>
        <w:t>需求</w:t>
      </w:r>
      <w:r>
        <w:rPr>
          <w:rFonts w:hint="eastAsia" w:hAnsi="宋体"/>
          <w:color w:val="000000"/>
          <w:sz w:val="24"/>
        </w:rPr>
        <w:t>。</w:t>
      </w:r>
      <w:r>
        <w:rPr>
          <w:rFonts w:hAnsi="宋体"/>
          <w:color w:val="000000"/>
          <w:sz w:val="24"/>
        </w:rPr>
        <w:t>而</w:t>
      </w:r>
      <w:r>
        <w:rPr>
          <w:rFonts w:hint="eastAsia" w:hAnsi="宋体"/>
          <w:color w:val="000000"/>
          <w:sz w:val="24"/>
        </w:rPr>
        <w:t>我国一直没有具体关于</w:t>
      </w:r>
      <w:r>
        <w:rPr>
          <w:rFonts w:hint="eastAsia" w:hAnsi="宋体"/>
          <w:color w:val="000000"/>
          <w:sz w:val="24"/>
          <w:lang w:val="en-US" w:eastAsia="zh-CN"/>
        </w:rPr>
        <w:t>靶</w:t>
      </w:r>
      <w:r>
        <w:rPr>
          <w:rFonts w:hint="eastAsia" w:hAnsi="宋体"/>
          <w:color w:val="000000"/>
          <w:sz w:val="24"/>
        </w:rPr>
        <w:t>球的国家校准规范，以前只是在检定规程、校准规范的“使用的计量标准器具”或“附录”中对这些检具的计量特性略有要求，但对于具体的校准项目，条件，方法等，都没有明确的要求。这些现实都给</w:t>
      </w:r>
      <w:r>
        <w:rPr>
          <w:rFonts w:hAnsi="宋体"/>
          <w:color w:val="000000"/>
          <w:sz w:val="24"/>
        </w:rPr>
        <w:t>激光跟踪仪</w:t>
      </w:r>
      <w:r>
        <w:rPr>
          <w:rFonts w:hint="eastAsia" w:hAnsi="宋体"/>
          <w:color w:val="000000"/>
          <w:sz w:val="24"/>
        </w:rPr>
        <w:t>、</w:t>
      </w:r>
      <w:r>
        <w:rPr>
          <w:rFonts w:hAnsi="宋体"/>
          <w:color w:val="000000"/>
          <w:sz w:val="24"/>
        </w:rPr>
        <w:t>摄影测量系统</w:t>
      </w:r>
      <w:r>
        <w:rPr>
          <w:rFonts w:hint="eastAsia" w:hAnsi="宋体"/>
          <w:color w:val="000000"/>
          <w:sz w:val="24"/>
        </w:rPr>
        <w:t>、经纬仪、全站仪和</w:t>
      </w:r>
      <w:r>
        <w:rPr>
          <w:rFonts w:hint="eastAsia" w:hAnsi="宋体"/>
          <w:color w:val="000000"/>
          <w:sz w:val="24"/>
          <w:lang w:eastAsia="zh-CN"/>
        </w:rPr>
        <w:t>靶球</w:t>
      </w:r>
      <w:r>
        <w:rPr>
          <w:rFonts w:hint="eastAsia" w:hAnsi="宋体"/>
          <w:color w:val="000000"/>
          <w:sz w:val="24"/>
        </w:rPr>
        <w:t>的使用带来不便</w:t>
      </w:r>
      <w:r>
        <w:rPr>
          <w:rFonts w:hAnsi="宋体"/>
          <w:color w:val="000000"/>
          <w:sz w:val="24"/>
        </w:rPr>
        <w:t>，所以应该尽快制订该</w:t>
      </w:r>
      <w:r>
        <w:rPr>
          <w:rFonts w:hint="eastAsia" w:hAnsi="宋体"/>
          <w:color w:val="000000"/>
          <w:sz w:val="24"/>
        </w:rPr>
        <w:t>规范</w:t>
      </w:r>
      <w:r>
        <w:rPr>
          <w:rFonts w:hAnsi="宋体"/>
          <w:color w:val="000000"/>
          <w:sz w:val="24"/>
        </w:rPr>
        <w:t>，以使其满足校准的要求。</w:t>
      </w:r>
      <w:r>
        <w:rPr>
          <w:rFonts w:hint="eastAsia" w:hAnsi="宋体"/>
          <w:color w:val="000000"/>
          <w:sz w:val="24"/>
        </w:rPr>
        <w:t>因此</w:t>
      </w:r>
      <w:r>
        <w:rPr>
          <w:rFonts w:hint="eastAsia" w:hAnsi="宋体"/>
          <w:color w:val="000000"/>
          <w:sz w:val="24"/>
          <w:lang w:eastAsia="zh-CN"/>
        </w:rPr>
        <w:t>靶球</w:t>
      </w:r>
      <w:r>
        <w:rPr>
          <w:rFonts w:hint="eastAsia" w:hAnsi="宋体"/>
          <w:color w:val="000000"/>
          <w:sz w:val="24"/>
        </w:rPr>
        <w:t>校准规范的制定有着重大意义。</w:t>
      </w:r>
    </w:p>
    <w:p>
      <w:pPr>
        <w:spacing w:line="480" w:lineRule="auto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二、 编制过程</w:t>
      </w:r>
    </w:p>
    <w:p>
      <w:pPr>
        <w:spacing w:line="307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2.1 </w:t>
      </w:r>
      <w:r>
        <w:rPr>
          <w:rFonts w:hAnsi="宋体"/>
          <w:color w:val="000000"/>
          <w:sz w:val="24"/>
        </w:rPr>
        <w:t>编制原则：</w:t>
      </w:r>
    </w:p>
    <w:p>
      <w:pPr>
        <w:spacing w:line="307" w:lineRule="auto"/>
        <w:ind w:firstLine="480"/>
        <w:rPr>
          <w:rFonts w:hAnsi="宋体"/>
          <w:color w:val="000000"/>
          <w:sz w:val="24"/>
        </w:rPr>
      </w:pPr>
      <w:r>
        <w:rPr>
          <w:rFonts w:hint="eastAsia" w:hAnsi="宋体"/>
          <w:color w:val="000000"/>
          <w:sz w:val="24"/>
        </w:rPr>
        <w:t>2.1.1 校准规范的</w:t>
      </w:r>
      <w:r>
        <w:rPr>
          <w:rFonts w:hAnsi="宋体"/>
          <w:color w:val="000000"/>
          <w:sz w:val="24"/>
        </w:rPr>
        <w:t>整个内容应与现行有效相关标准相协调，技术内容应具有先进性、科学性和可操作性。使本</w:t>
      </w:r>
      <w:r>
        <w:rPr>
          <w:rFonts w:hint="eastAsia" w:hAnsi="宋体"/>
          <w:color w:val="000000"/>
          <w:sz w:val="24"/>
        </w:rPr>
        <w:t>规范</w:t>
      </w:r>
      <w:r>
        <w:rPr>
          <w:rFonts w:hAnsi="宋体"/>
          <w:color w:val="000000"/>
          <w:sz w:val="24"/>
        </w:rPr>
        <w:t>适用范围广，具有通用性。</w:t>
      </w:r>
    </w:p>
    <w:p>
      <w:pPr>
        <w:spacing w:line="307" w:lineRule="auto"/>
        <w:ind w:firstLine="480"/>
        <w:rPr>
          <w:rFonts w:hAnsi="宋体"/>
          <w:color w:val="000000"/>
          <w:sz w:val="24"/>
        </w:rPr>
      </w:pPr>
      <w:r>
        <w:rPr>
          <w:rFonts w:hint="eastAsia" w:hAnsi="宋体"/>
          <w:color w:val="000000"/>
          <w:sz w:val="24"/>
        </w:rPr>
        <w:t>2.1.2</w:t>
      </w:r>
      <w:r>
        <w:rPr>
          <w:rFonts w:hAnsi="宋体"/>
          <w:color w:val="000000"/>
          <w:sz w:val="24"/>
        </w:rPr>
        <w:t>在充分调研的基础上，根据实际情况，确定</w:t>
      </w:r>
      <w:r>
        <w:rPr>
          <w:rFonts w:hint="eastAsia" w:hAnsi="宋体"/>
          <w:color w:val="000000"/>
          <w:sz w:val="24"/>
          <w:lang w:eastAsia="zh-CN"/>
        </w:rPr>
        <w:t>靶球</w:t>
      </w:r>
      <w:r>
        <w:rPr>
          <w:rFonts w:hAnsi="宋体"/>
          <w:color w:val="000000"/>
          <w:sz w:val="24"/>
        </w:rPr>
        <w:t>的计量特性、</w:t>
      </w:r>
      <w:r>
        <w:rPr>
          <w:rFonts w:hint="eastAsia" w:hAnsi="宋体"/>
          <w:color w:val="000000"/>
          <w:sz w:val="24"/>
        </w:rPr>
        <w:t>校准</w:t>
      </w:r>
      <w:r>
        <w:rPr>
          <w:rFonts w:hAnsi="宋体"/>
          <w:color w:val="000000"/>
          <w:sz w:val="24"/>
        </w:rPr>
        <w:t>条件、</w:t>
      </w:r>
      <w:r>
        <w:rPr>
          <w:rFonts w:hint="eastAsia" w:hAnsi="宋体"/>
          <w:color w:val="000000"/>
          <w:sz w:val="24"/>
        </w:rPr>
        <w:t>校准</w:t>
      </w:r>
      <w:r>
        <w:rPr>
          <w:rFonts w:hAnsi="宋体"/>
          <w:color w:val="000000"/>
          <w:sz w:val="24"/>
        </w:rPr>
        <w:t>项目、</w:t>
      </w:r>
      <w:r>
        <w:rPr>
          <w:rFonts w:hint="eastAsia" w:hAnsi="宋体"/>
          <w:color w:val="000000"/>
          <w:sz w:val="24"/>
        </w:rPr>
        <w:t>校准</w:t>
      </w:r>
      <w:r>
        <w:rPr>
          <w:rFonts w:hAnsi="宋体"/>
          <w:color w:val="000000"/>
          <w:sz w:val="24"/>
        </w:rPr>
        <w:t>方法等。</w:t>
      </w:r>
    </w:p>
    <w:p>
      <w:pPr>
        <w:spacing w:line="307" w:lineRule="auto"/>
        <w:ind w:firstLine="480"/>
        <w:rPr>
          <w:rFonts w:hAnsi="宋体"/>
          <w:color w:val="000000"/>
          <w:sz w:val="24"/>
        </w:rPr>
      </w:pPr>
      <w:r>
        <w:rPr>
          <w:rFonts w:hint="eastAsia" w:hAnsi="宋体"/>
          <w:color w:val="000000"/>
          <w:sz w:val="24"/>
        </w:rPr>
        <w:t>2.1.3规范</w:t>
      </w:r>
      <w:r>
        <w:rPr>
          <w:rFonts w:hAnsi="宋体"/>
          <w:color w:val="000000"/>
          <w:sz w:val="24"/>
        </w:rPr>
        <w:t>中的</w:t>
      </w:r>
      <w:r>
        <w:rPr>
          <w:rFonts w:hint="eastAsia" w:hAnsi="宋体"/>
          <w:color w:val="000000"/>
          <w:sz w:val="24"/>
        </w:rPr>
        <w:t>校准</w:t>
      </w:r>
      <w:r>
        <w:rPr>
          <w:rFonts w:hAnsi="宋体"/>
          <w:color w:val="000000"/>
          <w:sz w:val="24"/>
        </w:rPr>
        <w:t>方法应通过实验验证，力求方法简单科学，准确可靠。</w:t>
      </w:r>
    </w:p>
    <w:p>
      <w:pPr>
        <w:spacing w:line="307" w:lineRule="auto"/>
        <w:ind w:firstLine="480"/>
        <w:rPr>
          <w:rFonts w:hAnsi="宋体"/>
          <w:color w:val="000000"/>
          <w:sz w:val="24"/>
        </w:rPr>
      </w:pPr>
      <w:r>
        <w:rPr>
          <w:rFonts w:hint="eastAsia" w:hAnsi="宋体"/>
          <w:color w:val="000000"/>
          <w:sz w:val="24"/>
        </w:rPr>
        <w:t>2.1.4规范</w:t>
      </w:r>
      <w:r>
        <w:rPr>
          <w:rFonts w:hAnsi="宋体"/>
          <w:color w:val="000000"/>
          <w:sz w:val="24"/>
        </w:rPr>
        <w:t>中的文字表述力求层次分明，语句简明，公式表达准确，量和单位使用规范。</w:t>
      </w:r>
    </w:p>
    <w:p>
      <w:pPr>
        <w:spacing w:line="307" w:lineRule="auto"/>
        <w:ind w:firstLine="480"/>
        <w:rPr>
          <w:rFonts w:hAnsi="宋体"/>
          <w:color w:val="000000"/>
          <w:sz w:val="24"/>
        </w:rPr>
      </w:pPr>
      <w:r>
        <w:rPr>
          <w:rFonts w:hint="eastAsia" w:hAnsi="宋体"/>
          <w:color w:val="000000"/>
          <w:sz w:val="24"/>
        </w:rPr>
        <w:t>2.1.5</w:t>
      </w:r>
      <w:r>
        <w:rPr>
          <w:rFonts w:hAnsi="宋体"/>
          <w:color w:val="000000"/>
          <w:sz w:val="24"/>
        </w:rPr>
        <w:t>规范编写格式及要求严格按照国标《</w:t>
      </w:r>
      <w:r>
        <w:rPr>
          <w:rFonts w:hint="eastAsia" w:hAnsi="宋体"/>
          <w:color w:val="000000"/>
          <w:sz w:val="24"/>
        </w:rPr>
        <w:t>JJF1071-2010国家计量校准规范编写规则</w:t>
      </w:r>
      <w:r>
        <w:rPr>
          <w:rFonts w:hAnsi="宋体"/>
          <w:color w:val="000000"/>
          <w:sz w:val="24"/>
        </w:rPr>
        <w:t>》要求进行。</w:t>
      </w:r>
    </w:p>
    <w:p>
      <w:pPr>
        <w:spacing w:line="307" w:lineRule="auto"/>
        <w:rPr>
          <w:rFonts w:hint="eastAsia" w:hAnsi="宋体"/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2.2 </w:t>
      </w:r>
      <w:r>
        <w:rPr>
          <w:rFonts w:hAnsi="宋体"/>
          <w:color w:val="000000"/>
          <w:sz w:val="24"/>
        </w:rPr>
        <w:t>具体工作：</w:t>
      </w:r>
    </w:p>
    <w:p>
      <w:pPr>
        <w:spacing w:line="307" w:lineRule="auto"/>
        <w:ind w:firstLine="480"/>
        <w:rPr>
          <w:rFonts w:hint="eastAsia" w:hAnsi="宋体"/>
          <w:color w:val="000000"/>
          <w:sz w:val="24"/>
        </w:rPr>
      </w:pPr>
      <w:r>
        <w:rPr>
          <w:rFonts w:hAnsi="宋体"/>
          <w:color w:val="000000"/>
          <w:sz w:val="24"/>
        </w:rPr>
        <w:t>该</w:t>
      </w:r>
      <w:r>
        <w:rPr>
          <w:rFonts w:hint="eastAsia" w:hAnsi="宋体"/>
          <w:color w:val="000000"/>
          <w:sz w:val="24"/>
        </w:rPr>
        <w:t>规范</w:t>
      </w:r>
      <w:r>
        <w:rPr>
          <w:rFonts w:hAnsi="宋体"/>
          <w:color w:val="000000"/>
          <w:sz w:val="24"/>
        </w:rPr>
        <w:t>的编写工作</w:t>
      </w:r>
      <w:r>
        <w:rPr>
          <w:rFonts w:hint="eastAsia" w:hAnsi="宋体"/>
          <w:color w:val="000000"/>
          <w:sz w:val="24"/>
        </w:rPr>
        <w:t>主要</w:t>
      </w:r>
      <w:r>
        <w:rPr>
          <w:rFonts w:hAnsi="宋体"/>
          <w:color w:val="000000"/>
          <w:sz w:val="24"/>
        </w:rPr>
        <w:t>由中国航空工业集团公司北京长城计量测试技术研究所</w:t>
      </w:r>
      <w:r>
        <w:rPr>
          <w:rFonts w:hint="eastAsia" w:hAnsi="宋体"/>
          <w:color w:val="000000"/>
          <w:sz w:val="24"/>
        </w:rPr>
        <w:t>、中国合格评定国家认可中心、深圳中航技术检测所有限公司</w:t>
      </w:r>
      <w:r>
        <w:rPr>
          <w:rFonts w:hAnsi="宋体"/>
          <w:color w:val="000000"/>
          <w:sz w:val="24"/>
        </w:rPr>
        <w:t>承担。</w:t>
      </w:r>
      <w:r>
        <w:rPr>
          <w:rFonts w:hint="eastAsia" w:hAnsi="宋体"/>
          <w:color w:val="000000"/>
          <w:sz w:val="24"/>
        </w:rPr>
        <w:t>同时邀请辽宁省计量科学研究院、西安计量技术研究院、四川拉姆达科技有限公司技术人员共同参与。参与人员均为多年从事几何量校准技术的研究人员，具有</w:t>
      </w:r>
      <w:r>
        <w:rPr>
          <w:rFonts w:hint="eastAsia" w:hAnsi="宋体"/>
          <w:color w:val="000000"/>
          <w:sz w:val="24"/>
          <w:lang w:eastAsia="zh-CN"/>
        </w:rPr>
        <w:t>靶球</w:t>
      </w:r>
      <w:r>
        <w:rPr>
          <w:rFonts w:hint="eastAsia" w:hAnsi="宋体"/>
          <w:color w:val="000000"/>
          <w:sz w:val="24"/>
        </w:rPr>
        <w:t>的校准经验和国家计量技术规范文件的编写经验。</w:t>
      </w:r>
    </w:p>
    <w:p>
      <w:pPr>
        <w:spacing w:line="307" w:lineRule="auto"/>
        <w:ind w:firstLine="480" w:firstLineChars="200"/>
        <w:rPr>
          <w:rFonts w:hint="eastAsia"/>
          <w:color w:val="000000"/>
          <w:sz w:val="24"/>
        </w:rPr>
      </w:pPr>
      <w:r>
        <w:rPr>
          <w:color w:val="000000"/>
          <w:sz w:val="24"/>
        </w:rPr>
        <w:t>20</w:t>
      </w:r>
      <w:r>
        <w:rPr>
          <w:rFonts w:hint="eastAsia"/>
          <w:color w:val="000000"/>
          <w:sz w:val="24"/>
          <w:lang w:val="en-US" w:eastAsia="zh-CN"/>
        </w:rPr>
        <w:t>23</w:t>
      </w:r>
      <w:r>
        <w:rPr>
          <w:color w:val="000000"/>
          <w:sz w:val="24"/>
        </w:rPr>
        <w:t>年</w:t>
      </w:r>
      <w:r>
        <w:rPr>
          <w:rFonts w:hint="eastAsia"/>
          <w:color w:val="000000"/>
          <w:sz w:val="24"/>
          <w:lang w:val="en-US" w:eastAsia="zh-CN"/>
        </w:rPr>
        <w:t>3</w:t>
      </w:r>
      <w:r>
        <w:rPr>
          <w:color w:val="000000"/>
          <w:sz w:val="24"/>
        </w:rPr>
        <w:t>月对规范进行立项论证。成立规范编写小组，确定本规范主要编写人孙玉玖</w:t>
      </w:r>
      <w:r>
        <w:rPr>
          <w:rFonts w:hint="eastAsia"/>
          <w:color w:val="000000"/>
          <w:sz w:val="24"/>
        </w:rPr>
        <w:t>、</w:t>
      </w:r>
      <w:r>
        <w:rPr>
          <w:color w:val="000000"/>
          <w:sz w:val="24"/>
        </w:rPr>
        <w:t>钱丰</w:t>
      </w:r>
      <w:r>
        <w:rPr>
          <w:rFonts w:hint="eastAsia"/>
          <w:color w:val="000000"/>
          <w:sz w:val="24"/>
          <w:lang w:eastAsia="zh-CN"/>
        </w:rPr>
        <w:t>、</w:t>
      </w:r>
      <w:r>
        <w:rPr>
          <w:rFonts w:hint="eastAsia"/>
          <w:color w:val="000000"/>
          <w:sz w:val="24"/>
        </w:rPr>
        <w:t>王宁</w:t>
      </w:r>
      <w:r>
        <w:rPr>
          <w:rFonts w:hint="eastAsia"/>
          <w:color w:val="000000"/>
          <w:sz w:val="24"/>
          <w:lang w:eastAsia="zh-CN"/>
        </w:rPr>
        <w:t>、</w:t>
      </w:r>
      <w:r>
        <w:rPr>
          <w:rFonts w:hint="eastAsia"/>
          <w:color w:val="000000"/>
          <w:sz w:val="24"/>
        </w:rPr>
        <w:t>刘克先，及参加起草人刘娜</w:t>
      </w:r>
      <w:r>
        <w:rPr>
          <w:color w:val="000000"/>
          <w:sz w:val="24"/>
        </w:rPr>
        <w:t>、</w:t>
      </w:r>
      <w:r>
        <w:rPr>
          <w:rFonts w:hint="eastAsia"/>
          <w:color w:val="000000"/>
          <w:sz w:val="24"/>
        </w:rPr>
        <w:t>胡畅、景洪伟</w:t>
      </w:r>
      <w:r>
        <w:rPr>
          <w:color w:val="000000"/>
          <w:sz w:val="24"/>
        </w:rPr>
        <w:t>。</w:t>
      </w:r>
    </w:p>
    <w:p>
      <w:pPr>
        <w:spacing w:line="307" w:lineRule="auto"/>
        <w:ind w:firstLine="480" w:firstLineChars="200"/>
        <w:rPr>
          <w:color w:val="000000"/>
          <w:sz w:val="24"/>
        </w:rPr>
      </w:pPr>
      <w:r>
        <w:rPr>
          <w:color w:val="000000"/>
          <w:sz w:val="24"/>
        </w:rPr>
        <w:t>具体实施过程如下：</w:t>
      </w:r>
    </w:p>
    <w:p>
      <w:pPr>
        <w:spacing w:line="307" w:lineRule="auto"/>
        <w:ind w:firstLine="480" w:firstLineChars="200"/>
        <w:rPr>
          <w:color w:val="000000"/>
          <w:sz w:val="24"/>
        </w:rPr>
      </w:pPr>
      <w:r>
        <w:rPr>
          <w:rFonts w:hAnsi="宋体"/>
          <w:color w:val="000000"/>
          <w:sz w:val="24"/>
        </w:rPr>
        <w:t>20</w:t>
      </w:r>
      <w:r>
        <w:rPr>
          <w:rFonts w:hint="eastAsia" w:hAnsi="宋体"/>
          <w:color w:val="000000"/>
          <w:sz w:val="24"/>
          <w:lang w:val="en-US" w:eastAsia="zh-CN"/>
        </w:rPr>
        <w:t>23</w:t>
      </w:r>
      <w:r>
        <w:rPr>
          <w:rFonts w:hAnsi="宋体"/>
          <w:color w:val="000000"/>
          <w:sz w:val="24"/>
        </w:rPr>
        <w:t>年</w:t>
      </w:r>
      <w:r>
        <w:rPr>
          <w:rFonts w:hint="eastAsia" w:hAnsi="宋体"/>
          <w:color w:val="000000"/>
          <w:sz w:val="24"/>
          <w:lang w:val="en-US" w:eastAsia="zh-CN"/>
        </w:rPr>
        <w:t>10</w:t>
      </w:r>
      <w:r>
        <w:rPr>
          <w:rFonts w:hAnsi="宋体"/>
          <w:color w:val="000000"/>
          <w:sz w:val="24"/>
        </w:rPr>
        <w:t>月开始收</w:t>
      </w:r>
      <w:r>
        <w:rPr>
          <w:color w:val="000000"/>
          <w:sz w:val="24"/>
        </w:rPr>
        <w:t>集国内外有关标准，进行细致分析研究，按标准的要求制定测试方法，对测试方法进行试验，并做出试验总结，提出改进措施，确保试验方法科学，易操作。</w:t>
      </w:r>
    </w:p>
    <w:p>
      <w:pPr>
        <w:spacing w:line="307" w:lineRule="auto"/>
        <w:ind w:firstLine="480" w:firstLineChars="200"/>
        <w:rPr>
          <w:rFonts w:hAnsi="宋体"/>
          <w:color w:val="000000"/>
          <w:sz w:val="24"/>
        </w:rPr>
      </w:pPr>
      <w:r>
        <w:rPr>
          <w:rFonts w:hAnsi="宋体"/>
          <w:color w:val="000000"/>
          <w:sz w:val="24"/>
        </w:rPr>
        <w:t>20</w:t>
      </w:r>
      <w:r>
        <w:rPr>
          <w:rFonts w:hint="eastAsia" w:hAnsi="宋体"/>
          <w:color w:val="000000"/>
          <w:sz w:val="24"/>
          <w:lang w:val="en-US" w:eastAsia="zh-CN"/>
        </w:rPr>
        <w:t>23</w:t>
      </w:r>
      <w:r>
        <w:rPr>
          <w:rFonts w:hAnsi="宋体"/>
          <w:color w:val="000000"/>
          <w:sz w:val="24"/>
        </w:rPr>
        <w:t>年</w:t>
      </w:r>
      <w:r>
        <w:rPr>
          <w:rFonts w:hint="eastAsia" w:hAnsi="宋体"/>
          <w:color w:val="000000"/>
          <w:sz w:val="24"/>
          <w:lang w:val="en-US" w:eastAsia="zh-CN"/>
        </w:rPr>
        <w:t>11</w:t>
      </w:r>
      <w:r>
        <w:rPr>
          <w:rFonts w:hAnsi="宋体"/>
          <w:color w:val="000000"/>
          <w:sz w:val="24"/>
        </w:rPr>
        <w:t>月开始编写</w:t>
      </w:r>
      <w:r>
        <w:rPr>
          <w:rFonts w:hint="eastAsia" w:hAnsi="宋体"/>
          <w:color w:val="000000"/>
          <w:sz w:val="24"/>
        </w:rPr>
        <w:t>校准规范</w:t>
      </w:r>
      <w:r>
        <w:rPr>
          <w:rFonts w:hAnsi="宋体"/>
          <w:color w:val="000000"/>
          <w:sz w:val="24"/>
        </w:rPr>
        <w:t>，并于20</w:t>
      </w:r>
      <w:r>
        <w:rPr>
          <w:rFonts w:hint="eastAsia" w:hAnsi="宋体"/>
          <w:color w:val="000000"/>
          <w:sz w:val="24"/>
          <w:lang w:val="en-US" w:eastAsia="zh-CN"/>
        </w:rPr>
        <w:t>23</w:t>
      </w:r>
      <w:r>
        <w:rPr>
          <w:rFonts w:hAnsi="宋体"/>
          <w:color w:val="000000"/>
          <w:sz w:val="24"/>
        </w:rPr>
        <w:t>年12月完成初稿，组织</w:t>
      </w:r>
      <w:r>
        <w:rPr>
          <w:rFonts w:hint="eastAsia" w:hAnsi="宋体"/>
          <w:color w:val="000000"/>
          <w:sz w:val="24"/>
        </w:rPr>
        <w:t>本单位</w:t>
      </w:r>
      <w:r>
        <w:rPr>
          <w:rFonts w:hAnsi="宋体"/>
          <w:color w:val="000000"/>
          <w:sz w:val="24"/>
        </w:rPr>
        <w:t>专家对初稿进行讨论。</w:t>
      </w:r>
    </w:p>
    <w:p>
      <w:pPr>
        <w:spacing w:line="307" w:lineRule="auto"/>
        <w:ind w:firstLine="480" w:firstLineChars="200"/>
        <w:rPr>
          <w:rFonts w:hAnsi="宋体"/>
          <w:color w:val="000000"/>
          <w:sz w:val="24"/>
        </w:rPr>
      </w:pPr>
      <w:r>
        <w:rPr>
          <w:rFonts w:hAnsi="宋体"/>
          <w:color w:val="000000"/>
          <w:sz w:val="24"/>
        </w:rPr>
        <w:t>20</w:t>
      </w:r>
      <w:r>
        <w:rPr>
          <w:rFonts w:hint="eastAsia" w:hAnsi="宋体"/>
          <w:color w:val="000000"/>
          <w:sz w:val="24"/>
          <w:lang w:val="en-US" w:eastAsia="zh-CN"/>
        </w:rPr>
        <w:t>24</w:t>
      </w:r>
      <w:r>
        <w:rPr>
          <w:rFonts w:hAnsi="宋体"/>
          <w:color w:val="000000"/>
          <w:sz w:val="24"/>
        </w:rPr>
        <w:t>年</w:t>
      </w:r>
      <w:r>
        <w:rPr>
          <w:rFonts w:hint="eastAsia" w:hAnsi="宋体"/>
          <w:color w:val="000000"/>
          <w:sz w:val="24"/>
        </w:rPr>
        <w:t>0</w:t>
      </w:r>
      <w:r>
        <w:rPr>
          <w:rFonts w:hint="eastAsia" w:hAnsi="宋体"/>
          <w:color w:val="000000"/>
          <w:sz w:val="24"/>
          <w:lang w:val="en-US" w:eastAsia="zh-CN"/>
        </w:rPr>
        <w:t>3</w:t>
      </w:r>
      <w:r>
        <w:rPr>
          <w:rFonts w:hAnsi="宋体"/>
          <w:color w:val="000000"/>
          <w:sz w:val="24"/>
        </w:rPr>
        <w:t>月完成初稿的修改，</w:t>
      </w:r>
      <w:r>
        <w:rPr>
          <w:rFonts w:hint="eastAsia" w:hAnsi="宋体"/>
          <w:color w:val="000000"/>
          <w:sz w:val="24"/>
        </w:rPr>
        <w:t>20</w:t>
      </w:r>
      <w:r>
        <w:rPr>
          <w:rFonts w:hint="eastAsia" w:hAnsi="宋体"/>
          <w:color w:val="000000"/>
          <w:sz w:val="24"/>
          <w:lang w:val="en-US" w:eastAsia="zh-CN"/>
        </w:rPr>
        <w:t>24</w:t>
      </w:r>
      <w:r>
        <w:rPr>
          <w:rFonts w:hint="eastAsia" w:hAnsi="宋体"/>
          <w:color w:val="000000"/>
          <w:sz w:val="24"/>
        </w:rPr>
        <w:t>年0</w:t>
      </w:r>
      <w:r>
        <w:rPr>
          <w:rFonts w:hint="eastAsia" w:hAnsi="宋体"/>
          <w:color w:val="000000"/>
          <w:sz w:val="24"/>
          <w:lang w:val="en-US" w:eastAsia="zh-CN"/>
        </w:rPr>
        <w:t>4</w:t>
      </w:r>
      <w:r>
        <w:rPr>
          <w:rFonts w:hint="eastAsia" w:hAnsi="宋体"/>
          <w:color w:val="000000"/>
          <w:sz w:val="24"/>
        </w:rPr>
        <w:t>月</w:t>
      </w:r>
      <w:r>
        <w:rPr>
          <w:rFonts w:hAnsi="宋体"/>
          <w:color w:val="000000"/>
          <w:sz w:val="24"/>
        </w:rPr>
        <w:t>形成征求意见稿。</w:t>
      </w:r>
    </w:p>
    <w:p>
      <w:pPr>
        <w:spacing w:line="480" w:lineRule="auto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三、调研和分析工作的情况</w:t>
      </w:r>
    </w:p>
    <w:p>
      <w:pPr>
        <w:spacing w:line="312" w:lineRule="auto"/>
        <w:ind w:firstLine="480"/>
        <w:rPr>
          <w:color w:val="000000"/>
          <w:sz w:val="24"/>
        </w:rPr>
      </w:pPr>
      <w:r>
        <w:rPr>
          <w:rFonts w:hAnsi="宋体"/>
          <w:color w:val="000000"/>
          <w:sz w:val="24"/>
        </w:rPr>
        <w:t>为了完成</w:t>
      </w:r>
      <w:r>
        <w:rPr>
          <w:rFonts w:hint="eastAsia"/>
          <w:color w:val="000000"/>
          <w:sz w:val="24"/>
          <w:lang w:eastAsia="zh-CN"/>
        </w:rPr>
        <w:t>“靶球</w:t>
      </w:r>
      <w:r>
        <w:rPr>
          <w:rFonts w:hint="eastAsia"/>
          <w:color w:val="000000"/>
          <w:sz w:val="24"/>
        </w:rPr>
        <w:t>校准规范</w:t>
      </w:r>
      <w:r>
        <w:rPr>
          <w:rFonts w:hint="eastAsia"/>
          <w:color w:val="000000"/>
          <w:sz w:val="24"/>
          <w:lang w:eastAsia="zh-CN"/>
        </w:rPr>
        <w:t>”</w:t>
      </w:r>
      <w:r>
        <w:rPr>
          <w:rFonts w:hAnsi="宋体"/>
          <w:color w:val="000000"/>
          <w:sz w:val="24"/>
        </w:rPr>
        <w:t>的编写工作，进行了广泛的调研与方法分析，</w:t>
      </w:r>
      <w:r>
        <w:rPr>
          <w:rFonts w:hint="eastAsia" w:hAnsi="宋体"/>
          <w:color w:val="000000"/>
          <w:sz w:val="24"/>
        </w:rPr>
        <w:t>走访了</w:t>
      </w:r>
      <w:r>
        <w:rPr>
          <w:rFonts w:hAnsi="宋体"/>
          <w:color w:val="000000"/>
          <w:sz w:val="24"/>
        </w:rPr>
        <w:t>激光跟踪仪</w:t>
      </w:r>
      <w:r>
        <w:rPr>
          <w:rFonts w:hint="eastAsia" w:hAnsi="宋体"/>
          <w:color w:val="000000"/>
          <w:sz w:val="24"/>
        </w:rPr>
        <w:t>、</w:t>
      </w:r>
      <w:r>
        <w:rPr>
          <w:rFonts w:hAnsi="宋体"/>
          <w:color w:val="000000"/>
          <w:sz w:val="24"/>
        </w:rPr>
        <w:t>摄影测量系统</w:t>
      </w:r>
      <w:r>
        <w:rPr>
          <w:rFonts w:hint="eastAsia" w:hAnsi="宋体"/>
          <w:color w:val="000000"/>
          <w:sz w:val="24"/>
        </w:rPr>
        <w:t>、经纬仪、全站仪</w:t>
      </w:r>
      <w:r>
        <w:rPr>
          <w:rFonts w:hint="eastAsia" w:hAnsi="宋体"/>
          <w:color w:val="000000"/>
          <w:sz w:val="24"/>
          <w:lang w:val="en-US" w:eastAsia="zh-CN"/>
        </w:rPr>
        <w:t>和</w:t>
      </w:r>
      <w:r>
        <w:rPr>
          <w:rFonts w:hint="eastAsia" w:hAnsi="宋体"/>
          <w:color w:val="000000"/>
          <w:sz w:val="24"/>
          <w:lang w:eastAsia="zh-CN"/>
        </w:rPr>
        <w:t>靶球</w:t>
      </w:r>
      <w:r>
        <w:rPr>
          <w:rFonts w:hint="eastAsia" w:hAnsi="宋体"/>
          <w:color w:val="000000"/>
          <w:sz w:val="24"/>
        </w:rPr>
        <w:t>生产厂家，</w:t>
      </w:r>
      <w:r>
        <w:rPr>
          <w:rFonts w:hint="eastAsia" w:hAnsi="宋体"/>
          <w:color w:val="000000"/>
          <w:sz w:val="24"/>
          <w:lang w:eastAsia="zh-CN"/>
        </w:rPr>
        <w:t>靶球</w:t>
      </w:r>
      <w:r>
        <w:rPr>
          <w:rFonts w:hint="eastAsia" w:hAnsi="宋体"/>
          <w:color w:val="000000"/>
          <w:sz w:val="24"/>
        </w:rPr>
        <w:t>的计量</w:t>
      </w:r>
      <w:r>
        <w:rPr>
          <w:rFonts w:hint="eastAsia" w:hAnsi="宋体"/>
          <w:color w:val="000000"/>
          <w:sz w:val="24"/>
          <w:lang w:eastAsia="zh-CN"/>
        </w:rPr>
        <w:t>、</w:t>
      </w:r>
      <w:r>
        <w:rPr>
          <w:rFonts w:hint="eastAsia" w:hAnsi="宋体"/>
          <w:color w:val="000000"/>
          <w:sz w:val="24"/>
          <w:lang w:val="en-US" w:eastAsia="zh-CN"/>
        </w:rPr>
        <w:t>使用</w:t>
      </w:r>
      <w:r>
        <w:rPr>
          <w:rFonts w:hint="eastAsia" w:hAnsi="宋体"/>
          <w:color w:val="000000"/>
          <w:sz w:val="24"/>
        </w:rPr>
        <w:t>单位；查阅了国内外相关技术资料及文献。</w:t>
      </w:r>
      <w:r>
        <w:rPr>
          <w:rFonts w:hAnsi="宋体"/>
          <w:color w:val="000000"/>
          <w:sz w:val="24"/>
        </w:rPr>
        <w:t>最终确定了</w:t>
      </w:r>
      <w:r>
        <w:rPr>
          <w:rFonts w:hint="eastAsia"/>
          <w:color w:val="000000"/>
          <w:sz w:val="24"/>
          <w:lang w:eastAsia="zh-CN"/>
        </w:rPr>
        <w:t>靶球</w:t>
      </w:r>
      <w:r>
        <w:rPr>
          <w:rFonts w:hAnsi="宋体"/>
          <w:color w:val="000000"/>
          <w:sz w:val="24"/>
        </w:rPr>
        <w:t>的技术要求、</w:t>
      </w:r>
      <w:r>
        <w:rPr>
          <w:rFonts w:hint="eastAsia"/>
          <w:color w:val="000000"/>
          <w:sz w:val="24"/>
        </w:rPr>
        <w:t>校准</w:t>
      </w:r>
      <w:r>
        <w:rPr>
          <w:rFonts w:hAnsi="宋体"/>
          <w:color w:val="000000"/>
          <w:sz w:val="24"/>
        </w:rPr>
        <w:t>方法等重要内容，并加以测量不确定度分析、实验验证，并在此基础上完成</w:t>
      </w:r>
      <w:r>
        <w:rPr>
          <w:rFonts w:hint="eastAsia"/>
          <w:color w:val="000000"/>
          <w:sz w:val="24"/>
        </w:rPr>
        <w:t>“</w:t>
      </w:r>
      <w:r>
        <w:rPr>
          <w:rFonts w:hint="eastAsia"/>
          <w:color w:val="000000"/>
          <w:sz w:val="24"/>
          <w:lang w:eastAsia="zh-CN"/>
        </w:rPr>
        <w:t>靶球</w:t>
      </w:r>
      <w:r>
        <w:rPr>
          <w:rFonts w:hint="eastAsia"/>
          <w:color w:val="000000"/>
          <w:sz w:val="24"/>
        </w:rPr>
        <w:t>校准规范”</w:t>
      </w:r>
      <w:r>
        <w:rPr>
          <w:rFonts w:hAnsi="宋体"/>
          <w:color w:val="000000"/>
          <w:sz w:val="24"/>
        </w:rPr>
        <w:t>的</w:t>
      </w:r>
      <w:r>
        <w:rPr>
          <w:rFonts w:hint="eastAsia" w:hAnsi="宋体"/>
          <w:color w:val="000000"/>
          <w:sz w:val="24"/>
        </w:rPr>
        <w:t>征求意见稿</w:t>
      </w:r>
      <w:r>
        <w:rPr>
          <w:rFonts w:hAnsi="宋体"/>
          <w:color w:val="000000"/>
          <w:sz w:val="24"/>
        </w:rPr>
        <w:t>。</w:t>
      </w:r>
    </w:p>
    <w:p>
      <w:pPr>
        <w:spacing w:line="480" w:lineRule="auto"/>
        <w:rPr>
          <w:rFonts w:hint="eastAsia"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四、主要技术内容的说明</w:t>
      </w:r>
    </w:p>
    <w:p>
      <w:pPr>
        <w:spacing w:line="312" w:lineRule="auto"/>
        <w:ind w:right="198" w:firstLine="480" w:firstLineChars="200"/>
        <w:rPr>
          <w:color w:val="000000"/>
          <w:sz w:val="24"/>
        </w:rPr>
      </w:pPr>
      <w:r>
        <w:rPr>
          <w:rFonts w:hint="eastAsia"/>
          <w:color w:val="000000"/>
          <w:sz w:val="24"/>
          <w:lang w:eastAsia="zh-CN"/>
        </w:rPr>
        <w:t>“靶球</w:t>
      </w:r>
      <w:r>
        <w:rPr>
          <w:rFonts w:hint="eastAsia"/>
          <w:color w:val="000000"/>
          <w:sz w:val="24"/>
        </w:rPr>
        <w:t>校准规范</w:t>
      </w:r>
      <w:r>
        <w:rPr>
          <w:rFonts w:hint="eastAsia"/>
          <w:color w:val="000000"/>
          <w:sz w:val="24"/>
          <w:lang w:eastAsia="zh-CN"/>
        </w:rPr>
        <w:t>”</w:t>
      </w:r>
      <w:r>
        <w:rPr>
          <w:rFonts w:hAnsi="宋体"/>
          <w:color w:val="000000"/>
          <w:sz w:val="24"/>
        </w:rPr>
        <w:t>属于新制订的</w:t>
      </w:r>
      <w:r>
        <w:rPr>
          <w:rFonts w:hint="eastAsia" w:hAnsi="宋体"/>
          <w:color w:val="000000"/>
          <w:sz w:val="24"/>
        </w:rPr>
        <w:t>规范</w:t>
      </w:r>
      <w:r>
        <w:rPr>
          <w:rFonts w:hAnsi="宋体"/>
          <w:color w:val="000000"/>
          <w:sz w:val="24"/>
        </w:rPr>
        <w:t>，为了保持</w:t>
      </w:r>
      <w:r>
        <w:rPr>
          <w:rFonts w:hint="eastAsia" w:hAnsi="宋体"/>
          <w:color w:val="000000"/>
          <w:sz w:val="24"/>
        </w:rPr>
        <w:t>规范</w:t>
      </w:r>
      <w:r>
        <w:rPr>
          <w:rFonts w:hAnsi="宋体"/>
          <w:color w:val="000000"/>
          <w:sz w:val="24"/>
        </w:rPr>
        <w:t>的可行性，在制订</w:t>
      </w:r>
      <w:r>
        <w:rPr>
          <w:rFonts w:hint="eastAsia" w:hAnsi="宋体"/>
          <w:color w:val="000000"/>
          <w:sz w:val="24"/>
        </w:rPr>
        <w:t>规范</w:t>
      </w:r>
      <w:r>
        <w:rPr>
          <w:rFonts w:hAnsi="宋体"/>
          <w:color w:val="000000"/>
          <w:sz w:val="24"/>
        </w:rPr>
        <w:t>时，在</w:t>
      </w:r>
      <w:r>
        <w:rPr>
          <w:rFonts w:hint="eastAsia" w:hAnsi="宋体"/>
          <w:color w:val="000000"/>
          <w:sz w:val="24"/>
        </w:rPr>
        <w:t>校准</w:t>
      </w:r>
      <w:r>
        <w:rPr>
          <w:rFonts w:hAnsi="宋体"/>
          <w:color w:val="000000"/>
          <w:sz w:val="24"/>
        </w:rPr>
        <w:t>项目和技术指标上，尽量保持与相关现行有效标准（主要考虑《</w:t>
      </w:r>
      <w:r>
        <w:rPr>
          <w:rFonts w:hint="eastAsia" w:hAnsi="宋体"/>
          <w:color w:val="000000"/>
          <w:sz w:val="24"/>
        </w:rPr>
        <w:t>JJF 1242-2010激光跟踪三维坐标测量系统校准规范</w:t>
      </w:r>
      <w:r>
        <w:rPr>
          <w:rFonts w:hAnsi="宋体"/>
          <w:color w:val="000000"/>
          <w:sz w:val="24"/>
        </w:rPr>
        <w:t>》</w:t>
      </w:r>
      <w:r>
        <w:rPr>
          <w:rFonts w:hint="eastAsia" w:hAnsi="宋体"/>
          <w:color w:val="000000"/>
          <w:sz w:val="24"/>
        </w:rPr>
        <w:t>）</w:t>
      </w:r>
      <w:r>
        <w:rPr>
          <w:rFonts w:hint="eastAsia" w:hAnsi="宋体"/>
          <w:color w:val="000000"/>
          <w:sz w:val="24"/>
          <w:lang w:val="en-US" w:eastAsia="zh-CN"/>
        </w:rPr>
        <w:t>相一致</w:t>
      </w:r>
      <w:r>
        <w:rPr>
          <w:rFonts w:hAnsi="宋体"/>
          <w:color w:val="000000"/>
          <w:sz w:val="24"/>
        </w:rPr>
        <w:t>。</w:t>
      </w:r>
      <w:r>
        <w:rPr>
          <w:rFonts w:hint="eastAsia" w:hAnsi="宋体"/>
          <w:color w:val="000000"/>
          <w:sz w:val="24"/>
          <w:lang w:val="en-US" w:eastAsia="zh-CN"/>
        </w:rPr>
        <w:t>并参考相应国家标准、国内外制造商的生产标准等。</w:t>
      </w:r>
      <w:r>
        <w:rPr>
          <w:rFonts w:hint="eastAsia" w:hAnsi="宋体"/>
          <w:color w:val="000000"/>
          <w:sz w:val="24"/>
        </w:rPr>
        <w:t>校准</w:t>
      </w:r>
      <w:r>
        <w:rPr>
          <w:rFonts w:hAnsi="宋体"/>
          <w:color w:val="000000"/>
          <w:sz w:val="24"/>
        </w:rPr>
        <w:t>方法上，充分考虑并借鉴相关计量器具（主要考虑《</w:t>
      </w:r>
      <w:r>
        <w:rPr>
          <w:rFonts w:hint="eastAsia" w:hAnsi="宋体"/>
          <w:color w:val="000000"/>
          <w:sz w:val="24"/>
        </w:rPr>
        <w:t>JJF 1422-2013 坐标测量球校准规范》</w:t>
      </w:r>
      <w:r>
        <w:rPr>
          <w:rFonts w:hAnsi="宋体"/>
          <w:color w:val="000000"/>
          <w:sz w:val="24"/>
        </w:rPr>
        <w:t>）中的成熟方法。具体内容如下：</w:t>
      </w:r>
    </w:p>
    <w:p>
      <w:pPr>
        <w:spacing w:line="312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4.1 校准</w:t>
      </w:r>
      <w:r>
        <w:rPr>
          <w:rFonts w:hint="eastAsia" w:hAnsi="宋体"/>
          <w:color w:val="000000"/>
          <w:sz w:val="24"/>
        </w:rPr>
        <w:t>规范</w:t>
      </w:r>
      <w:r>
        <w:rPr>
          <w:rFonts w:hAnsi="宋体"/>
          <w:color w:val="000000"/>
          <w:sz w:val="24"/>
        </w:rPr>
        <w:t>编写格式及</w:t>
      </w:r>
      <w:r>
        <w:rPr>
          <w:rFonts w:hint="eastAsia"/>
          <w:color w:val="000000"/>
          <w:sz w:val="24"/>
        </w:rPr>
        <w:t>校准</w:t>
      </w:r>
      <w:r>
        <w:rPr>
          <w:rFonts w:hint="eastAsia" w:hAnsi="宋体"/>
          <w:color w:val="000000"/>
          <w:sz w:val="24"/>
        </w:rPr>
        <w:t>规范</w:t>
      </w:r>
      <w:r>
        <w:rPr>
          <w:rFonts w:hAnsi="宋体"/>
          <w:color w:val="000000"/>
          <w:sz w:val="24"/>
        </w:rPr>
        <w:t>的结构完全按照《</w:t>
      </w:r>
      <w:r>
        <w:rPr>
          <w:rFonts w:hint="eastAsia"/>
          <w:color w:val="000000"/>
          <w:sz w:val="24"/>
        </w:rPr>
        <w:t>JJF1071-2010 国家计量校准规范编写规则</w:t>
      </w:r>
      <w:r>
        <w:rPr>
          <w:rFonts w:hAnsi="宋体"/>
          <w:color w:val="000000"/>
          <w:sz w:val="24"/>
        </w:rPr>
        <w:t>》的要求编写。</w:t>
      </w:r>
      <w:r>
        <w:rPr>
          <w:color w:val="000000"/>
          <w:sz w:val="24"/>
        </w:rPr>
        <w:t xml:space="preserve"> </w:t>
      </w:r>
    </w:p>
    <w:p>
      <w:pPr>
        <w:spacing w:line="312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4.2 </w:t>
      </w:r>
      <w:r>
        <w:rPr>
          <w:rFonts w:hAnsi="宋体"/>
          <w:color w:val="000000"/>
          <w:sz w:val="24"/>
        </w:rPr>
        <w:t>对</w:t>
      </w:r>
      <w:r>
        <w:rPr>
          <w:rFonts w:hint="eastAsia" w:hAnsi="宋体"/>
          <w:color w:val="000000"/>
          <w:sz w:val="24"/>
        </w:rPr>
        <w:t>“</w:t>
      </w:r>
      <w:r>
        <w:rPr>
          <w:rFonts w:hint="eastAsia" w:hAnsi="宋体"/>
          <w:color w:val="000000"/>
          <w:sz w:val="24"/>
          <w:lang w:eastAsia="zh-CN"/>
        </w:rPr>
        <w:t>靶球</w:t>
      </w:r>
      <w:r>
        <w:rPr>
          <w:rFonts w:hint="eastAsia" w:hAnsi="宋体"/>
          <w:color w:val="000000"/>
          <w:sz w:val="24"/>
        </w:rPr>
        <w:t>”</w:t>
      </w:r>
      <w:r>
        <w:rPr>
          <w:rFonts w:hAnsi="宋体"/>
          <w:color w:val="000000"/>
          <w:sz w:val="24"/>
        </w:rPr>
        <w:t>的适用范围以及引用文献作了说明。</w:t>
      </w:r>
    </w:p>
    <w:p>
      <w:pPr>
        <w:spacing w:line="312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4.3 </w:t>
      </w:r>
      <w:r>
        <w:rPr>
          <w:rFonts w:hAnsi="宋体"/>
          <w:color w:val="000000"/>
          <w:sz w:val="24"/>
        </w:rPr>
        <w:t>概述</w:t>
      </w:r>
      <w:r>
        <w:rPr>
          <w:color w:val="000000"/>
          <w:sz w:val="24"/>
        </w:rPr>
        <w:t xml:space="preserve">: </w:t>
      </w:r>
    </w:p>
    <w:p>
      <w:pPr>
        <w:spacing w:line="312" w:lineRule="auto"/>
        <w:ind w:firstLine="480" w:firstLineChars="200"/>
        <w:rPr>
          <w:color w:val="000000"/>
          <w:sz w:val="24"/>
        </w:rPr>
      </w:pPr>
      <w:r>
        <w:rPr>
          <w:rFonts w:hAnsi="宋体"/>
          <w:color w:val="000000"/>
          <w:sz w:val="24"/>
        </w:rPr>
        <w:t>对</w:t>
      </w:r>
      <w:r>
        <w:rPr>
          <w:rFonts w:hint="eastAsia" w:hAnsi="宋体"/>
          <w:color w:val="000000"/>
          <w:sz w:val="24"/>
        </w:rPr>
        <w:t>“</w:t>
      </w:r>
      <w:r>
        <w:rPr>
          <w:rFonts w:hint="eastAsia" w:hAnsi="宋体"/>
          <w:color w:val="000000"/>
          <w:sz w:val="24"/>
          <w:lang w:eastAsia="zh-CN"/>
        </w:rPr>
        <w:t>靶球</w:t>
      </w:r>
      <w:r>
        <w:rPr>
          <w:rFonts w:hint="eastAsia" w:hAnsi="宋体"/>
          <w:color w:val="000000"/>
          <w:sz w:val="24"/>
        </w:rPr>
        <w:t>”</w:t>
      </w:r>
      <w:r>
        <w:rPr>
          <w:rFonts w:hAnsi="宋体"/>
          <w:color w:val="000000"/>
          <w:sz w:val="24"/>
        </w:rPr>
        <w:t>的用途</w:t>
      </w:r>
      <w:r>
        <w:rPr>
          <w:rFonts w:hint="eastAsia" w:hAnsi="宋体"/>
          <w:color w:val="000000"/>
          <w:sz w:val="24"/>
        </w:rPr>
        <w:t>、种类等信息</w:t>
      </w:r>
      <w:r>
        <w:rPr>
          <w:rFonts w:hAnsi="宋体"/>
          <w:color w:val="000000"/>
          <w:sz w:val="24"/>
        </w:rPr>
        <w:t>作了</w:t>
      </w:r>
      <w:r>
        <w:rPr>
          <w:rFonts w:hint="eastAsia" w:hAnsi="宋体"/>
          <w:color w:val="000000"/>
          <w:sz w:val="24"/>
        </w:rPr>
        <w:t>描述</w:t>
      </w:r>
      <w:r>
        <w:rPr>
          <w:rFonts w:hAnsi="宋体"/>
          <w:color w:val="000000"/>
          <w:sz w:val="24"/>
        </w:rPr>
        <w:t>。</w:t>
      </w:r>
    </w:p>
    <w:p>
      <w:pPr>
        <w:spacing w:line="312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4.4 </w:t>
      </w:r>
      <w:r>
        <w:rPr>
          <w:rFonts w:hAnsi="宋体"/>
          <w:color w:val="000000"/>
          <w:sz w:val="24"/>
        </w:rPr>
        <w:t>计量器具性能</w:t>
      </w:r>
    </w:p>
    <w:p>
      <w:pPr>
        <w:spacing w:line="312" w:lineRule="auto"/>
        <w:ind w:firstLine="480"/>
        <w:rPr>
          <w:color w:val="000000"/>
          <w:sz w:val="24"/>
        </w:rPr>
      </w:pPr>
      <w:r>
        <w:rPr>
          <w:rFonts w:hAnsi="宋体"/>
          <w:color w:val="000000"/>
          <w:sz w:val="24"/>
        </w:rPr>
        <w:t>主要考虑</w:t>
      </w:r>
      <w:r>
        <w:rPr>
          <w:rFonts w:hint="eastAsia" w:hAnsi="宋体"/>
          <w:color w:val="000000"/>
          <w:sz w:val="24"/>
          <w:lang w:val="en-US" w:eastAsia="zh-CN"/>
        </w:rPr>
        <w:t>靶球在对应设备中的使用情况及要求</w:t>
      </w:r>
      <w:r>
        <w:rPr>
          <w:rFonts w:hAnsi="宋体"/>
          <w:color w:val="000000"/>
          <w:sz w:val="24"/>
        </w:rPr>
        <w:t>的要求</w:t>
      </w:r>
      <w:r>
        <w:rPr>
          <w:rFonts w:hint="eastAsia" w:hAnsi="宋体"/>
          <w:color w:val="000000"/>
          <w:sz w:val="24"/>
        </w:rPr>
        <w:t>，</w:t>
      </w:r>
      <w:r>
        <w:rPr>
          <w:rFonts w:hint="eastAsia" w:hAnsi="宋体"/>
          <w:color w:val="000000"/>
          <w:sz w:val="24"/>
          <w:lang w:val="en-US" w:eastAsia="zh-CN"/>
        </w:rPr>
        <w:t>靶球</w:t>
      </w:r>
      <w:r>
        <w:rPr>
          <w:rFonts w:hAnsi="宋体"/>
          <w:color w:val="000000"/>
          <w:sz w:val="24"/>
        </w:rPr>
        <w:t>以下</w:t>
      </w:r>
      <w:r>
        <w:rPr>
          <w:rFonts w:hint="eastAsia" w:hAnsi="宋体"/>
          <w:color w:val="000000"/>
          <w:sz w:val="24"/>
          <w:lang w:val="en-US" w:eastAsia="zh-CN"/>
        </w:rPr>
        <w:t>4</w:t>
      </w:r>
      <w:r>
        <w:rPr>
          <w:rFonts w:hAnsi="宋体"/>
          <w:color w:val="000000"/>
          <w:sz w:val="24"/>
        </w:rPr>
        <w:t>项计量性能提出要求：</w:t>
      </w:r>
    </w:p>
    <w:p>
      <w:pPr>
        <w:spacing w:line="312" w:lineRule="auto"/>
        <w:ind w:firstLine="480"/>
        <w:rPr>
          <w:rFonts w:hint="default" w:hAnsi="宋体"/>
          <w:color w:val="000000"/>
          <w:sz w:val="24"/>
          <w:lang w:val="en-US" w:eastAsia="zh-CN"/>
        </w:rPr>
      </w:pPr>
      <w:r>
        <w:rPr>
          <w:rFonts w:hint="eastAsia" w:hAnsi="宋体"/>
          <w:color w:val="000000"/>
          <w:sz w:val="24"/>
          <w:lang w:val="en-US" w:eastAsia="zh-CN"/>
        </w:rPr>
        <w:t>4.4.1 球体直径：直接影响激光跟踪仪等设备的双面示值误差，因此做出校准要求。</w:t>
      </w:r>
    </w:p>
    <w:p>
      <w:pPr>
        <w:spacing w:line="312" w:lineRule="auto"/>
        <w:ind w:firstLine="480"/>
        <w:rPr>
          <w:rFonts w:hint="eastAsia" w:hAnsi="宋体"/>
          <w:color w:val="000000"/>
          <w:sz w:val="24"/>
          <w:lang w:val="en-US" w:eastAsia="zh-CN"/>
        </w:rPr>
      </w:pPr>
      <w:r>
        <w:rPr>
          <w:rFonts w:hint="eastAsia" w:hAnsi="宋体"/>
          <w:color w:val="000000"/>
          <w:sz w:val="24"/>
          <w:lang w:val="en-US" w:eastAsia="zh-CN"/>
        </w:rPr>
        <w:t>4.4.2 球体圆度：直接影响激光跟踪仪等设备的双面示值误差、点对点长度示值误差等，因此做出校准要求。</w:t>
      </w:r>
    </w:p>
    <w:p>
      <w:pPr>
        <w:spacing w:line="312" w:lineRule="auto"/>
        <w:ind w:firstLine="480"/>
        <w:rPr>
          <w:rFonts w:hint="default" w:hAnsi="宋体"/>
          <w:color w:val="000000"/>
          <w:sz w:val="24"/>
          <w:lang w:val="en-US" w:eastAsia="zh-CN"/>
        </w:rPr>
      </w:pPr>
      <w:r>
        <w:rPr>
          <w:rFonts w:hint="eastAsia" w:hAnsi="宋体"/>
          <w:color w:val="000000"/>
          <w:sz w:val="24"/>
          <w:lang w:val="en-US" w:eastAsia="zh-CN"/>
        </w:rPr>
        <w:t>4.4.3 中心偏移量：直接影响激光跟踪仪等设备的双面示值误差、点对点长度示值误差、距离示值误差等，因此做出校准要求。</w:t>
      </w:r>
    </w:p>
    <w:p>
      <w:pPr>
        <w:spacing w:line="312" w:lineRule="auto"/>
        <w:ind w:firstLine="480"/>
        <w:rPr>
          <w:rFonts w:hint="eastAsia" w:hAnsi="宋体"/>
          <w:color w:val="000000"/>
          <w:sz w:val="24"/>
          <w:lang w:val="en-US" w:eastAsia="zh-CN"/>
        </w:rPr>
      </w:pPr>
      <w:r>
        <w:rPr>
          <w:rFonts w:hint="eastAsia" w:hAnsi="宋体"/>
          <w:color w:val="000000"/>
          <w:sz w:val="24"/>
          <w:lang w:val="en-US" w:eastAsia="zh-CN"/>
        </w:rPr>
        <w:t>4.4.4 角锥棱镜的工作角偏差：直接影响激光跟踪仪的双面示值误差、点对点长度示值误差、距离示值误差、回光一致性等，因此做出校准要求。</w:t>
      </w:r>
    </w:p>
    <w:p>
      <w:pPr>
        <w:spacing w:line="312" w:lineRule="auto"/>
        <w:rPr>
          <w:rFonts w:hint="eastAsia"/>
          <w:color w:val="000000"/>
          <w:sz w:val="24"/>
        </w:rPr>
      </w:pPr>
      <w:r>
        <w:rPr>
          <w:rFonts w:hint="eastAsia" w:hAnsi="宋体"/>
          <w:color w:val="000000"/>
          <w:sz w:val="24"/>
        </w:rPr>
        <w:t>4.5 校准条件</w:t>
      </w:r>
    </w:p>
    <w:p>
      <w:pPr>
        <w:spacing w:line="312" w:lineRule="auto"/>
        <w:ind w:firstLine="480" w:firstLineChars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4.5.1 环境条件</w:t>
      </w:r>
    </w:p>
    <w:p>
      <w:pPr>
        <w:spacing w:line="312" w:lineRule="auto"/>
        <w:ind w:firstLine="480"/>
        <w:rPr>
          <w:rFonts w:hint="eastAsia"/>
          <w:color w:val="000000"/>
          <w:sz w:val="24"/>
        </w:rPr>
      </w:pPr>
      <w:r>
        <w:rPr>
          <w:color w:val="000000"/>
          <w:sz w:val="24"/>
        </w:rPr>
        <w:t>说明：考虑到温度对校准结果的影响</w:t>
      </w:r>
      <w:r>
        <w:rPr>
          <w:rFonts w:hint="eastAsia"/>
          <w:color w:val="000000"/>
          <w:sz w:val="24"/>
        </w:rPr>
        <w:t>，</w:t>
      </w:r>
      <w:r>
        <w:rPr>
          <w:rFonts w:hint="eastAsia"/>
          <w:color w:val="000000"/>
          <w:sz w:val="24"/>
          <w:lang w:val="en-US" w:eastAsia="zh-CN"/>
        </w:rPr>
        <w:t>对</w:t>
      </w:r>
      <w:r>
        <w:rPr>
          <w:rFonts w:hint="eastAsia" w:hAnsi="宋体"/>
          <w:color w:val="000000"/>
          <w:sz w:val="24"/>
          <w:lang w:eastAsia="zh-CN"/>
        </w:rPr>
        <w:t>靶球的</w:t>
      </w:r>
      <w:r>
        <w:rPr>
          <w:rFonts w:hint="eastAsia" w:hAnsi="宋体"/>
          <w:color w:val="000000"/>
          <w:sz w:val="24"/>
          <w:lang w:val="en-US" w:eastAsia="zh-CN"/>
        </w:rPr>
        <w:t>校准提出基本的环境要求</w:t>
      </w:r>
      <w:r>
        <w:rPr>
          <w:color w:val="000000"/>
          <w:sz w:val="24"/>
        </w:rPr>
        <w:t>。</w:t>
      </w:r>
    </w:p>
    <w:p>
      <w:pPr>
        <w:spacing w:line="312" w:lineRule="auto"/>
        <w:ind w:firstLine="480" w:firstLineChars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4.5.2 </w:t>
      </w:r>
      <w:r>
        <w:rPr>
          <w:color w:val="000000"/>
          <w:sz w:val="24"/>
        </w:rPr>
        <w:t>测量标准及其他设备</w:t>
      </w:r>
    </w:p>
    <w:p>
      <w:pPr>
        <w:spacing w:line="312" w:lineRule="auto"/>
        <w:ind w:firstLine="480"/>
        <w:rPr>
          <w:rFonts w:hint="eastAsia"/>
          <w:color w:val="000000"/>
          <w:sz w:val="24"/>
        </w:rPr>
      </w:pPr>
      <w:r>
        <w:rPr>
          <w:color w:val="000000"/>
          <w:sz w:val="24"/>
        </w:rPr>
        <w:t>说明：</w:t>
      </w:r>
      <w:r>
        <w:rPr>
          <w:rFonts w:hint="eastAsia" w:hAnsi="宋体"/>
          <w:color w:val="000000"/>
          <w:sz w:val="24"/>
        </w:rPr>
        <w:t>根据</w:t>
      </w:r>
      <w:r>
        <w:rPr>
          <w:rFonts w:hint="eastAsia" w:hAnsi="宋体"/>
          <w:color w:val="000000"/>
          <w:sz w:val="24"/>
          <w:lang w:eastAsia="zh-CN"/>
        </w:rPr>
        <w:t>靶球</w:t>
      </w:r>
      <w:r>
        <w:rPr>
          <w:rFonts w:hint="eastAsia" w:hAnsi="宋体"/>
          <w:color w:val="000000"/>
          <w:sz w:val="24"/>
        </w:rPr>
        <w:t>的校准项目及测量不确定度要求确定了主要测量标准及其他设备</w:t>
      </w:r>
      <w:r>
        <w:rPr>
          <w:color w:val="000000"/>
          <w:sz w:val="24"/>
        </w:rPr>
        <w:t>。</w:t>
      </w:r>
    </w:p>
    <w:p>
      <w:pPr>
        <w:spacing w:line="312" w:lineRule="auto"/>
        <w:ind w:firstLine="480" w:firstLineChars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4.5.3 其他条件</w:t>
      </w:r>
    </w:p>
    <w:p>
      <w:pPr>
        <w:spacing w:line="312" w:lineRule="auto"/>
        <w:ind w:firstLine="480"/>
        <w:rPr>
          <w:rFonts w:hint="eastAsia"/>
          <w:color w:val="000000"/>
          <w:sz w:val="24"/>
        </w:rPr>
      </w:pPr>
      <w:r>
        <w:rPr>
          <w:color w:val="000000"/>
          <w:sz w:val="24"/>
        </w:rPr>
        <w:t>说明：</w:t>
      </w:r>
      <w:r>
        <w:rPr>
          <w:rFonts w:hint="eastAsia" w:hAnsi="宋体"/>
          <w:color w:val="000000"/>
          <w:sz w:val="24"/>
        </w:rPr>
        <w:t>根据</w:t>
      </w:r>
      <w:r>
        <w:rPr>
          <w:rFonts w:hint="eastAsia" w:hAnsi="宋体"/>
          <w:color w:val="000000"/>
          <w:sz w:val="24"/>
          <w:lang w:eastAsia="zh-CN"/>
        </w:rPr>
        <w:t>靶球</w:t>
      </w:r>
      <w:r>
        <w:rPr>
          <w:rFonts w:hint="eastAsia" w:hAnsi="宋体"/>
          <w:color w:val="000000"/>
          <w:sz w:val="24"/>
        </w:rPr>
        <w:t>的计量特性和校准方法确定了在校准前应该确认的其他条件</w:t>
      </w:r>
      <w:r>
        <w:rPr>
          <w:color w:val="000000"/>
          <w:sz w:val="24"/>
        </w:rPr>
        <w:t>。</w:t>
      </w:r>
    </w:p>
    <w:p>
      <w:pPr>
        <w:spacing w:line="312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4.6 </w:t>
      </w:r>
      <w:r>
        <w:rPr>
          <w:rFonts w:hint="eastAsia" w:hAnsi="宋体"/>
          <w:color w:val="000000"/>
          <w:sz w:val="24"/>
        </w:rPr>
        <w:t>校准项目及校准</w:t>
      </w:r>
      <w:r>
        <w:rPr>
          <w:rFonts w:hAnsi="宋体"/>
          <w:color w:val="000000"/>
          <w:sz w:val="24"/>
        </w:rPr>
        <w:t>方法</w:t>
      </w:r>
    </w:p>
    <w:p>
      <w:pPr>
        <w:spacing w:line="312" w:lineRule="auto"/>
        <w:ind w:firstLine="480" w:firstLineChars="200"/>
        <w:rPr>
          <w:color w:val="000000"/>
          <w:sz w:val="24"/>
        </w:rPr>
      </w:pPr>
      <w:r>
        <w:rPr>
          <w:rFonts w:hAnsi="宋体"/>
          <w:color w:val="000000"/>
          <w:sz w:val="24"/>
        </w:rPr>
        <w:t>在充分考虑</w:t>
      </w:r>
      <w:r>
        <w:rPr>
          <w:rFonts w:hint="eastAsia" w:hAnsi="宋体"/>
          <w:color w:val="000000"/>
          <w:sz w:val="24"/>
          <w:lang w:eastAsia="zh-CN"/>
        </w:rPr>
        <w:t>靶球</w:t>
      </w:r>
      <w:r>
        <w:rPr>
          <w:rFonts w:hAnsi="宋体"/>
          <w:color w:val="000000"/>
          <w:sz w:val="24"/>
        </w:rPr>
        <w:t>的</w:t>
      </w:r>
      <w:r>
        <w:rPr>
          <w:rFonts w:hint="eastAsia" w:hAnsi="宋体"/>
          <w:color w:val="000000"/>
          <w:sz w:val="24"/>
        </w:rPr>
        <w:t>校准</w:t>
      </w:r>
      <w:r>
        <w:rPr>
          <w:rFonts w:hAnsi="宋体"/>
          <w:color w:val="000000"/>
          <w:sz w:val="24"/>
        </w:rPr>
        <w:t>项目、计量性能、满足相应技术要求所需要的测量不确定度的要求，可操作性等因素后，确定了</w:t>
      </w:r>
      <w:r>
        <w:rPr>
          <w:rFonts w:hint="eastAsia" w:hAnsi="宋体"/>
          <w:color w:val="000000"/>
          <w:sz w:val="24"/>
          <w:lang w:eastAsia="zh-CN"/>
        </w:rPr>
        <w:t>靶球</w:t>
      </w:r>
      <w:r>
        <w:rPr>
          <w:rFonts w:hAnsi="宋体"/>
          <w:color w:val="000000"/>
          <w:sz w:val="24"/>
        </w:rPr>
        <w:t>的</w:t>
      </w:r>
      <w:r>
        <w:rPr>
          <w:rFonts w:hint="eastAsia" w:hAnsi="宋体"/>
          <w:color w:val="000000"/>
          <w:sz w:val="24"/>
        </w:rPr>
        <w:t>校准</w:t>
      </w:r>
      <w:r>
        <w:rPr>
          <w:rFonts w:hAnsi="宋体"/>
          <w:color w:val="000000"/>
          <w:sz w:val="24"/>
        </w:rPr>
        <w:t>项目</w:t>
      </w:r>
      <w:r>
        <w:rPr>
          <w:rFonts w:hint="eastAsia" w:hAnsi="宋体"/>
          <w:color w:val="000000"/>
          <w:sz w:val="24"/>
        </w:rPr>
        <w:t>和校准</w:t>
      </w:r>
      <w:r>
        <w:rPr>
          <w:rFonts w:hAnsi="宋体"/>
          <w:color w:val="000000"/>
          <w:sz w:val="24"/>
        </w:rPr>
        <w:t>方法。</w:t>
      </w:r>
      <w:r>
        <w:rPr>
          <w:rFonts w:hint="eastAsia" w:hAnsi="宋体"/>
          <w:color w:val="000000"/>
          <w:sz w:val="24"/>
          <w:lang w:eastAsia="zh-CN"/>
        </w:rPr>
        <w:t>靶球</w:t>
      </w:r>
      <w:r>
        <w:rPr>
          <w:rFonts w:hAnsi="宋体"/>
          <w:color w:val="000000"/>
          <w:sz w:val="24"/>
        </w:rPr>
        <w:t>的</w:t>
      </w:r>
      <w:r>
        <w:rPr>
          <w:rFonts w:hint="eastAsia" w:hAnsi="宋体"/>
          <w:color w:val="000000"/>
          <w:sz w:val="24"/>
        </w:rPr>
        <w:t>校准</w:t>
      </w:r>
      <w:r>
        <w:rPr>
          <w:rFonts w:hAnsi="宋体"/>
          <w:color w:val="000000"/>
          <w:sz w:val="24"/>
        </w:rPr>
        <w:t>方法过程的叙述主要是遵循以下原则：（</w:t>
      </w:r>
      <w:r>
        <w:rPr>
          <w:color w:val="000000"/>
          <w:sz w:val="24"/>
        </w:rPr>
        <w:t>1</w:t>
      </w:r>
      <w:r>
        <w:rPr>
          <w:rFonts w:hAnsi="宋体"/>
          <w:color w:val="000000"/>
          <w:sz w:val="24"/>
        </w:rPr>
        <w:t>）更加易于执行；（</w:t>
      </w:r>
      <w:r>
        <w:rPr>
          <w:color w:val="000000"/>
          <w:sz w:val="24"/>
        </w:rPr>
        <w:t>2</w:t>
      </w:r>
      <w:r>
        <w:rPr>
          <w:rFonts w:hAnsi="宋体"/>
          <w:color w:val="000000"/>
          <w:sz w:val="24"/>
        </w:rPr>
        <w:t>）语言简练（</w:t>
      </w:r>
      <w:r>
        <w:rPr>
          <w:color w:val="000000"/>
          <w:sz w:val="24"/>
        </w:rPr>
        <w:t>3</w:t>
      </w:r>
      <w:r>
        <w:rPr>
          <w:rFonts w:hAnsi="宋体"/>
          <w:color w:val="000000"/>
          <w:sz w:val="24"/>
        </w:rPr>
        <w:t>）；叙述清楚；（</w:t>
      </w:r>
      <w:r>
        <w:rPr>
          <w:color w:val="000000"/>
          <w:sz w:val="24"/>
        </w:rPr>
        <w:t>4</w:t>
      </w:r>
      <w:r>
        <w:rPr>
          <w:rFonts w:hAnsi="宋体"/>
          <w:color w:val="000000"/>
          <w:sz w:val="24"/>
        </w:rPr>
        <w:t>）层次分明。</w:t>
      </w:r>
    </w:p>
    <w:p>
      <w:pPr>
        <w:spacing w:line="312" w:lineRule="auto"/>
        <w:ind w:firstLine="600"/>
        <w:rPr>
          <w:rFonts w:hAnsi="宋体"/>
          <w:color w:val="000000"/>
          <w:sz w:val="24"/>
        </w:rPr>
      </w:pPr>
      <w:r>
        <w:rPr>
          <w:rFonts w:hAnsi="宋体"/>
          <w:color w:val="000000"/>
          <w:sz w:val="24"/>
        </w:rPr>
        <w:t>具体说明如下：</w:t>
      </w:r>
    </w:p>
    <w:p>
      <w:pPr>
        <w:spacing w:line="312" w:lineRule="auto"/>
        <w:ind w:firstLine="480"/>
        <w:rPr>
          <w:rFonts w:hint="eastAsia" w:hAnsi="宋体" w:eastAsia="宋体"/>
          <w:color w:val="000000"/>
          <w:sz w:val="24"/>
          <w:lang w:val="en-US" w:eastAsia="zh-CN"/>
        </w:rPr>
      </w:pPr>
      <w:r>
        <w:rPr>
          <w:rFonts w:hint="eastAsia" w:hAnsi="宋体"/>
          <w:color w:val="000000"/>
          <w:sz w:val="24"/>
          <w:lang w:val="en-US" w:eastAsia="zh-CN"/>
        </w:rPr>
        <w:t>4.6.1 球体直径：使用测长机或测长仪直接测量，取3个位置测量结果平均值作为测量结果。测量方法与</w:t>
      </w:r>
      <w:r>
        <w:rPr>
          <w:rFonts w:hAnsi="宋体"/>
          <w:color w:val="000000"/>
          <w:sz w:val="24"/>
        </w:rPr>
        <w:t>《</w:t>
      </w:r>
      <w:r>
        <w:rPr>
          <w:rFonts w:hint="eastAsia" w:hAnsi="宋体"/>
          <w:color w:val="000000"/>
          <w:sz w:val="24"/>
        </w:rPr>
        <w:t>JJF 1422-2013 坐标测量球校准规范》</w:t>
      </w:r>
      <w:r>
        <w:rPr>
          <w:rFonts w:hint="eastAsia" w:hAnsi="宋体"/>
          <w:color w:val="000000"/>
          <w:sz w:val="24"/>
          <w:lang w:val="en-US" w:eastAsia="zh-CN"/>
        </w:rPr>
        <w:t>6.2一致。</w:t>
      </w:r>
    </w:p>
    <w:p>
      <w:pPr>
        <w:spacing w:line="312" w:lineRule="auto"/>
        <w:ind w:firstLine="480"/>
        <w:rPr>
          <w:rFonts w:hint="eastAsia" w:hAnsi="宋体"/>
          <w:color w:val="000000"/>
          <w:sz w:val="24"/>
          <w:lang w:val="en-US" w:eastAsia="zh-CN"/>
        </w:rPr>
      </w:pPr>
      <w:r>
        <w:rPr>
          <w:rFonts w:hint="eastAsia" w:hAnsi="宋体"/>
          <w:color w:val="000000"/>
          <w:sz w:val="24"/>
          <w:lang w:val="en-US" w:eastAsia="zh-CN"/>
        </w:rPr>
        <w:t>4.6.2 球体圆度：使用圆度仪直接测量，取3个位置最大值作为测量结果。测量方法与</w:t>
      </w:r>
      <w:r>
        <w:rPr>
          <w:rFonts w:hAnsi="宋体"/>
          <w:color w:val="000000"/>
          <w:sz w:val="24"/>
        </w:rPr>
        <w:t>《</w:t>
      </w:r>
      <w:r>
        <w:rPr>
          <w:rFonts w:hint="eastAsia" w:hAnsi="宋体"/>
          <w:color w:val="000000"/>
          <w:sz w:val="24"/>
        </w:rPr>
        <w:t>JJF 1422-2013 坐标测量球校准规范》</w:t>
      </w:r>
      <w:r>
        <w:rPr>
          <w:rFonts w:hint="eastAsia" w:hAnsi="宋体"/>
          <w:color w:val="000000"/>
          <w:sz w:val="24"/>
          <w:lang w:val="en-US" w:eastAsia="zh-CN"/>
        </w:rPr>
        <w:t>6.3一致。</w:t>
      </w:r>
    </w:p>
    <w:p>
      <w:pPr>
        <w:spacing w:line="312" w:lineRule="auto"/>
        <w:ind w:firstLine="480"/>
        <w:rPr>
          <w:rFonts w:hint="default" w:hAnsi="宋体"/>
          <w:color w:val="000000"/>
          <w:sz w:val="24"/>
          <w:lang w:val="en-US" w:eastAsia="zh-CN"/>
        </w:rPr>
      </w:pPr>
      <w:r>
        <w:rPr>
          <w:rFonts w:hint="eastAsia" w:hAnsi="宋体"/>
          <w:color w:val="000000"/>
          <w:sz w:val="24"/>
          <w:lang w:val="en-US" w:eastAsia="zh-CN"/>
        </w:rPr>
        <w:t>4.6.3 中心偏移量：由于激光跟踪仪靶球和其他靶球的结构不同，因此激光跟踪仪靶球可以使用激光跟踪仪或激光干涉仪进行校准；经纬仪靶球、全站仪靶球、摄影测量系统靶球可以使用带光学镜头的坐标测量机进行校准。测量方法与</w:t>
      </w:r>
      <w:r>
        <w:rPr>
          <w:rFonts w:hAnsi="宋体"/>
          <w:color w:val="000000"/>
          <w:sz w:val="24"/>
        </w:rPr>
        <w:t>《</w:t>
      </w:r>
      <w:r>
        <w:rPr>
          <w:rFonts w:hint="eastAsia" w:hAnsi="宋体"/>
          <w:color w:val="000000"/>
          <w:sz w:val="24"/>
        </w:rPr>
        <w:t>1242-2010激光跟踪三维坐标测量系统校准规范》</w:t>
      </w:r>
      <w:r>
        <w:rPr>
          <w:rFonts w:hint="eastAsia" w:hAnsi="宋体"/>
          <w:color w:val="000000"/>
          <w:sz w:val="24"/>
          <w:lang w:val="en-US" w:eastAsia="zh-CN"/>
        </w:rPr>
        <w:t>7.4一致。</w:t>
      </w:r>
    </w:p>
    <w:p>
      <w:pPr>
        <w:spacing w:line="312" w:lineRule="auto"/>
        <w:ind w:firstLine="480"/>
        <w:rPr>
          <w:rFonts w:hint="eastAsia" w:hAnsi="宋体"/>
          <w:color w:val="000000"/>
          <w:sz w:val="24"/>
          <w:lang w:val="en-US" w:eastAsia="zh-CN"/>
        </w:rPr>
      </w:pPr>
      <w:r>
        <w:rPr>
          <w:rFonts w:hint="eastAsia" w:hAnsi="宋体"/>
          <w:color w:val="000000"/>
          <w:sz w:val="24"/>
          <w:lang w:val="en-US" w:eastAsia="zh-CN"/>
        </w:rPr>
        <w:t>4.6.4 角锥棱镜的工作角偏差：使用光电自准直仪进行校准。</w:t>
      </w:r>
    </w:p>
    <w:p>
      <w:pPr>
        <w:spacing w:line="312" w:lineRule="auto"/>
        <w:ind w:firstLine="480" w:firstLineChars="200"/>
        <w:rPr>
          <w:rFonts w:hint="eastAsia" w:hAnsi="宋体"/>
          <w:color w:val="000000"/>
          <w:sz w:val="24"/>
        </w:rPr>
      </w:pPr>
    </w:p>
    <w:p>
      <w:pPr>
        <w:spacing w:line="312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4.7 </w:t>
      </w:r>
      <w:r>
        <w:rPr>
          <w:rFonts w:hAnsi="宋体"/>
          <w:color w:val="000000"/>
          <w:sz w:val="24"/>
        </w:rPr>
        <w:t>校准结果的</w:t>
      </w:r>
      <w:r>
        <w:rPr>
          <w:rFonts w:hint="eastAsia" w:hAnsi="宋体"/>
          <w:color w:val="000000"/>
          <w:sz w:val="24"/>
        </w:rPr>
        <w:t>表达</w:t>
      </w:r>
      <w:r>
        <w:rPr>
          <w:rFonts w:hAnsi="宋体"/>
          <w:color w:val="000000"/>
          <w:sz w:val="24"/>
        </w:rPr>
        <w:t>及</w:t>
      </w:r>
      <w:r>
        <w:rPr>
          <w:rFonts w:hint="eastAsia" w:hAnsi="宋体"/>
          <w:color w:val="000000"/>
          <w:sz w:val="24"/>
        </w:rPr>
        <w:t>复校时间间隔</w:t>
      </w:r>
      <w:r>
        <w:rPr>
          <w:rFonts w:hAnsi="宋体"/>
          <w:color w:val="000000"/>
          <w:sz w:val="24"/>
        </w:rPr>
        <w:t>做出规定。</w:t>
      </w:r>
    </w:p>
    <w:p>
      <w:pPr>
        <w:spacing w:line="312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4.8 </w:t>
      </w:r>
      <w:r>
        <w:rPr>
          <w:rFonts w:hAnsi="宋体"/>
          <w:color w:val="000000"/>
          <w:sz w:val="24"/>
        </w:rPr>
        <w:t>附录</w:t>
      </w:r>
    </w:p>
    <w:p>
      <w:pPr>
        <w:spacing w:line="312" w:lineRule="auto"/>
        <w:ind w:firstLine="480"/>
        <w:rPr>
          <w:color w:val="000000"/>
          <w:sz w:val="24"/>
        </w:rPr>
      </w:pPr>
      <w:r>
        <w:rPr>
          <w:rFonts w:hAnsi="宋体"/>
          <w:color w:val="000000"/>
          <w:sz w:val="24"/>
        </w:rPr>
        <w:t>因为</w:t>
      </w:r>
      <w:r>
        <w:rPr>
          <w:rFonts w:hint="eastAsia" w:hAnsi="宋体"/>
          <w:color w:val="000000"/>
          <w:sz w:val="24"/>
          <w:lang w:eastAsia="zh-CN"/>
        </w:rPr>
        <w:t>靶球</w:t>
      </w:r>
      <w:r>
        <w:rPr>
          <w:rFonts w:hAnsi="宋体"/>
          <w:color w:val="000000"/>
          <w:sz w:val="24"/>
        </w:rPr>
        <w:t>校准规范属于首次制定，且涉及的方法很多，在正文中的叙述力求准确、精辟、流畅、简明扼要。而在附录中，给出具体的</w:t>
      </w:r>
      <w:r>
        <w:rPr>
          <w:rFonts w:hint="eastAsia" w:hAnsi="宋体"/>
          <w:color w:val="000000"/>
          <w:sz w:val="24"/>
        </w:rPr>
        <w:t>测量不确定度评定</w:t>
      </w:r>
      <w:r>
        <w:rPr>
          <w:rFonts w:hAnsi="宋体"/>
          <w:color w:val="000000"/>
          <w:sz w:val="24"/>
        </w:rPr>
        <w:t>示例，以保证规范的使用者能够更便捷、更容易、更准确的理解规范，执行规范。附录主要包括以下内容：</w:t>
      </w:r>
    </w:p>
    <w:p>
      <w:pPr>
        <w:spacing w:line="312" w:lineRule="auto"/>
        <w:ind w:firstLine="480"/>
        <w:rPr>
          <w:rFonts w:hint="eastAsia" w:hAnsi="宋体"/>
          <w:color w:val="000000"/>
          <w:sz w:val="24"/>
        </w:rPr>
      </w:pPr>
      <w:r>
        <w:rPr>
          <w:rFonts w:hAnsi="宋体"/>
          <w:color w:val="000000"/>
          <w:sz w:val="24"/>
        </w:rPr>
        <w:t>附录A：</w:t>
      </w:r>
      <w:r>
        <w:rPr>
          <w:rFonts w:hint="eastAsia" w:hAnsi="宋体"/>
          <w:color w:val="000000"/>
          <w:sz w:val="24"/>
        </w:rPr>
        <w:t>测量不确定度评定</w:t>
      </w:r>
    </w:p>
    <w:p>
      <w:pPr>
        <w:spacing w:line="312" w:lineRule="auto"/>
        <w:ind w:firstLine="480"/>
        <w:rPr>
          <w:rFonts w:hint="default" w:hAnsi="宋体" w:eastAsia="宋体"/>
          <w:color w:val="000000"/>
          <w:sz w:val="24"/>
          <w:lang w:val="en-US" w:eastAsia="zh-CN"/>
        </w:rPr>
      </w:pPr>
      <w:r>
        <w:rPr>
          <w:rFonts w:hint="eastAsia" w:hAnsi="宋体"/>
          <w:color w:val="000000"/>
          <w:sz w:val="24"/>
        </w:rPr>
        <w:t>附录B：</w:t>
      </w:r>
      <w:r>
        <w:rPr>
          <w:rFonts w:hint="eastAsia" w:hAnsi="宋体"/>
          <w:color w:val="000000"/>
          <w:sz w:val="24"/>
          <w:lang w:val="en-US" w:eastAsia="zh-CN"/>
        </w:rPr>
        <w:t>原始记录推荐格式</w:t>
      </w:r>
    </w:p>
    <w:p>
      <w:pPr>
        <w:spacing w:line="312" w:lineRule="auto"/>
        <w:ind w:firstLine="480"/>
        <w:rPr>
          <w:rFonts w:hint="default" w:hAnsi="宋体" w:eastAsia="宋体"/>
          <w:color w:val="000000"/>
          <w:sz w:val="24"/>
          <w:lang w:val="en-US" w:eastAsia="zh-CN"/>
        </w:rPr>
      </w:pPr>
      <w:r>
        <w:rPr>
          <w:rFonts w:hint="eastAsia" w:hAnsi="宋体"/>
          <w:color w:val="000000"/>
          <w:sz w:val="24"/>
        </w:rPr>
        <w:t>附录C：</w:t>
      </w:r>
      <w:r>
        <w:rPr>
          <w:rFonts w:hAnsi="宋体"/>
          <w:color w:val="000000"/>
          <w:sz w:val="24"/>
        </w:rPr>
        <w:t>校准证书</w:t>
      </w:r>
      <w:r>
        <w:rPr>
          <w:rFonts w:hint="eastAsia" w:hAnsi="宋体"/>
          <w:color w:val="000000"/>
          <w:sz w:val="24"/>
        </w:rPr>
        <w:t>内页</w:t>
      </w:r>
      <w:r>
        <w:rPr>
          <w:rFonts w:hAnsi="宋体"/>
          <w:color w:val="000000"/>
          <w:sz w:val="24"/>
        </w:rPr>
        <w:t>内容</w:t>
      </w:r>
      <w:r>
        <w:rPr>
          <w:rFonts w:hint="eastAsia" w:hAnsi="宋体"/>
          <w:color w:val="000000"/>
          <w:sz w:val="24"/>
          <w:lang w:val="en-US" w:eastAsia="zh-CN"/>
        </w:rPr>
        <w:t>及内页格式</w:t>
      </w:r>
    </w:p>
    <w:p>
      <w:pPr>
        <w:spacing w:line="480" w:lineRule="auto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五、验证试验的情况和结果</w:t>
      </w:r>
    </w:p>
    <w:p>
      <w:pPr>
        <w:spacing w:line="312" w:lineRule="auto"/>
        <w:ind w:firstLine="480" w:firstLineChars="200"/>
        <w:rPr>
          <w:color w:val="000000"/>
          <w:sz w:val="24"/>
        </w:rPr>
      </w:pPr>
      <w:r>
        <w:rPr>
          <w:rFonts w:hAnsi="宋体"/>
          <w:color w:val="000000"/>
          <w:sz w:val="24"/>
        </w:rPr>
        <w:t>选用</w:t>
      </w:r>
      <w:r>
        <w:rPr>
          <w:rFonts w:hint="eastAsia" w:hAnsi="宋体"/>
          <w:color w:val="000000"/>
          <w:sz w:val="24"/>
          <w:lang w:eastAsia="zh-CN"/>
        </w:rPr>
        <w:t>靶球</w:t>
      </w:r>
      <w:r>
        <w:rPr>
          <w:rFonts w:hAnsi="宋体"/>
          <w:color w:val="000000"/>
          <w:sz w:val="24"/>
        </w:rPr>
        <w:t>按照规范中的方法逐项进行试验，试验结果表明所有方法均具有可行性，且满足相应的测量不确定要求。</w:t>
      </w:r>
    </w:p>
    <w:p>
      <w:pPr>
        <w:spacing w:line="312" w:lineRule="auto"/>
        <w:ind w:firstLine="480" w:firstLineChars="200"/>
        <w:rPr>
          <w:color w:val="000000"/>
          <w:sz w:val="24"/>
        </w:rPr>
      </w:pPr>
      <w:r>
        <w:rPr>
          <w:rFonts w:hAnsi="宋体"/>
          <w:color w:val="000000"/>
          <w:sz w:val="24"/>
        </w:rPr>
        <w:t>另外用</w:t>
      </w:r>
      <w:r>
        <w:rPr>
          <w:rFonts w:hint="eastAsia" w:hAnsi="宋体"/>
          <w:color w:val="000000"/>
          <w:sz w:val="24"/>
          <w:lang w:eastAsia="zh-CN"/>
        </w:rPr>
        <w:t>靶球</w:t>
      </w:r>
      <w:r>
        <w:rPr>
          <w:rFonts w:hAnsi="宋体"/>
          <w:color w:val="000000"/>
          <w:sz w:val="24"/>
        </w:rPr>
        <w:t>进行比对、重复性、稳定性实验，并按照国标的要求进行数据分析，比对结果及实验数据均符合要求。</w:t>
      </w:r>
    </w:p>
    <w:p>
      <w:pPr>
        <w:spacing w:line="312" w:lineRule="auto"/>
        <w:ind w:firstLine="480" w:firstLineChars="200"/>
        <w:rPr>
          <w:color w:val="000000"/>
          <w:sz w:val="24"/>
        </w:rPr>
      </w:pPr>
      <w:r>
        <w:rPr>
          <w:rFonts w:hAnsi="宋体"/>
          <w:color w:val="000000"/>
          <w:sz w:val="24"/>
        </w:rPr>
        <w:t>具体试验结果见试验报告。</w:t>
      </w:r>
    </w:p>
    <w:p>
      <w:pPr>
        <w:spacing w:line="480" w:lineRule="auto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六、与国外同类标准水平的对比分析</w:t>
      </w:r>
    </w:p>
    <w:p>
      <w:pPr>
        <w:spacing w:line="312" w:lineRule="auto"/>
        <w:ind w:firstLine="480" w:firstLineChars="200"/>
        <w:rPr>
          <w:rFonts w:hAnsi="宋体"/>
          <w:color w:val="000000"/>
          <w:sz w:val="24"/>
        </w:rPr>
      </w:pPr>
      <w:r>
        <w:rPr>
          <w:rFonts w:hint="eastAsia" w:hAnsi="宋体"/>
          <w:color w:val="000000"/>
          <w:sz w:val="24"/>
        </w:rPr>
        <w:t>经过查阅相关文献，目国外前没有类似技术文件，因此没有可比性</w:t>
      </w:r>
      <w:r>
        <w:rPr>
          <w:rFonts w:hAnsi="宋体"/>
          <w:color w:val="000000"/>
          <w:sz w:val="24"/>
        </w:rPr>
        <w:t>。但在</w:t>
      </w:r>
      <w:r>
        <w:rPr>
          <w:rFonts w:hint="eastAsia" w:hAnsi="宋体"/>
          <w:color w:val="000000"/>
          <w:sz w:val="24"/>
        </w:rPr>
        <w:t>编制</w:t>
      </w:r>
      <w:r>
        <w:rPr>
          <w:rFonts w:hAnsi="宋体"/>
          <w:color w:val="000000"/>
          <w:sz w:val="24"/>
        </w:rPr>
        <w:t>“</w:t>
      </w:r>
      <w:r>
        <w:rPr>
          <w:rFonts w:hint="eastAsia" w:hAnsi="宋体"/>
          <w:color w:val="000000"/>
          <w:sz w:val="24"/>
          <w:lang w:eastAsia="zh-CN"/>
        </w:rPr>
        <w:t>靶球</w:t>
      </w:r>
      <w:r>
        <w:rPr>
          <w:rFonts w:hAnsi="宋体"/>
          <w:color w:val="000000"/>
          <w:sz w:val="24"/>
        </w:rPr>
        <w:t>校准规范”时，充分考虑</w:t>
      </w:r>
      <w:r>
        <w:rPr>
          <w:rFonts w:hint="eastAsia" w:hAnsi="宋体"/>
          <w:color w:val="000000"/>
          <w:sz w:val="24"/>
          <w:lang w:eastAsia="zh-CN"/>
        </w:rPr>
        <w:t>靶球</w:t>
      </w:r>
      <w:r>
        <w:rPr>
          <w:rFonts w:hint="eastAsia" w:hAnsi="宋体"/>
          <w:color w:val="000000"/>
          <w:sz w:val="24"/>
        </w:rPr>
        <w:t>制造和测量</w:t>
      </w:r>
      <w:r>
        <w:rPr>
          <w:rFonts w:hAnsi="宋体"/>
          <w:color w:val="000000"/>
          <w:sz w:val="24"/>
        </w:rPr>
        <w:t>技术现状以及发展的趋势，使</w:t>
      </w:r>
      <w:r>
        <w:rPr>
          <w:rFonts w:hint="eastAsia" w:hAnsi="宋体"/>
          <w:color w:val="000000"/>
          <w:sz w:val="24"/>
        </w:rPr>
        <w:t>校准规范的</w:t>
      </w:r>
      <w:r>
        <w:rPr>
          <w:rFonts w:hAnsi="宋体"/>
          <w:color w:val="000000"/>
          <w:sz w:val="24"/>
        </w:rPr>
        <w:t>规定完全可以满足国内的</w:t>
      </w:r>
      <w:r>
        <w:rPr>
          <w:rFonts w:hint="eastAsia" w:hAnsi="宋体"/>
          <w:color w:val="000000"/>
          <w:sz w:val="24"/>
          <w:lang w:eastAsia="zh-CN"/>
        </w:rPr>
        <w:t>靶球</w:t>
      </w:r>
      <w:r>
        <w:rPr>
          <w:rFonts w:hAnsi="宋体"/>
          <w:color w:val="000000"/>
          <w:sz w:val="24"/>
        </w:rPr>
        <w:t>量值传递要求</w:t>
      </w:r>
      <w:r>
        <w:rPr>
          <w:rFonts w:hint="eastAsia" w:hAnsi="宋体"/>
          <w:color w:val="000000"/>
          <w:sz w:val="24"/>
        </w:rPr>
        <w:t>。</w:t>
      </w:r>
    </w:p>
    <w:p>
      <w:pPr>
        <w:spacing w:line="480" w:lineRule="auto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七、与现行法规、标准的关系</w:t>
      </w:r>
    </w:p>
    <w:p>
      <w:pPr>
        <w:spacing w:line="312" w:lineRule="auto"/>
        <w:ind w:firstLine="480" w:firstLineChars="2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“</w:t>
      </w:r>
      <w:r>
        <w:rPr>
          <w:rFonts w:hint="eastAsia" w:hAnsi="宋体"/>
          <w:color w:val="000000"/>
          <w:sz w:val="24"/>
          <w:lang w:eastAsia="zh-CN"/>
        </w:rPr>
        <w:t>靶球</w:t>
      </w:r>
      <w:r>
        <w:rPr>
          <w:rFonts w:hAnsi="宋体"/>
          <w:color w:val="000000"/>
          <w:sz w:val="24"/>
        </w:rPr>
        <w:t>校准规范</w:t>
      </w:r>
      <w:r>
        <w:rPr>
          <w:rFonts w:hint="eastAsia"/>
          <w:color w:val="000000"/>
          <w:sz w:val="24"/>
        </w:rPr>
        <w:t>”</w:t>
      </w:r>
      <w:r>
        <w:rPr>
          <w:rFonts w:hAnsi="宋体"/>
          <w:color w:val="000000"/>
          <w:sz w:val="24"/>
        </w:rPr>
        <w:t>主要与现行标准《</w:t>
      </w:r>
      <w:r>
        <w:rPr>
          <w:rFonts w:hint="eastAsia" w:hAnsi="宋体"/>
          <w:color w:val="000000"/>
          <w:sz w:val="24"/>
        </w:rPr>
        <w:t>1242-2010激光跟踪三维坐标测量系统校准规范》</w:t>
      </w:r>
      <w:r>
        <w:rPr>
          <w:rFonts w:hAnsi="宋体"/>
          <w:color w:val="000000"/>
          <w:sz w:val="24"/>
        </w:rPr>
        <w:t>中技术指标关系较大，所以在编写</w:t>
      </w:r>
      <w:r>
        <w:rPr>
          <w:rFonts w:hint="eastAsia"/>
          <w:color w:val="000000"/>
          <w:sz w:val="24"/>
        </w:rPr>
        <w:t>“</w:t>
      </w:r>
      <w:r>
        <w:rPr>
          <w:rFonts w:hint="eastAsia" w:hAnsi="宋体"/>
          <w:color w:val="000000"/>
          <w:sz w:val="24"/>
          <w:lang w:eastAsia="zh-CN"/>
        </w:rPr>
        <w:t>靶球</w:t>
      </w:r>
      <w:r>
        <w:rPr>
          <w:rFonts w:hAnsi="宋体"/>
          <w:color w:val="000000"/>
          <w:sz w:val="24"/>
        </w:rPr>
        <w:t>校准规范</w:t>
      </w:r>
      <w:r>
        <w:rPr>
          <w:rFonts w:hint="eastAsia"/>
          <w:color w:val="000000"/>
          <w:sz w:val="24"/>
        </w:rPr>
        <w:t>”</w:t>
      </w:r>
      <w:r>
        <w:rPr>
          <w:rFonts w:hAnsi="宋体"/>
          <w:color w:val="000000"/>
          <w:sz w:val="24"/>
        </w:rPr>
        <w:t>时，力求与</w:t>
      </w:r>
      <w:r>
        <w:rPr>
          <w:rFonts w:hint="eastAsia" w:hAnsi="宋体"/>
          <w:color w:val="000000"/>
          <w:sz w:val="24"/>
        </w:rPr>
        <w:t>上述</w:t>
      </w:r>
      <w:r>
        <w:rPr>
          <w:rFonts w:hAnsi="宋体"/>
          <w:color w:val="000000"/>
          <w:sz w:val="24"/>
        </w:rPr>
        <w:t>规范保持一致。</w:t>
      </w:r>
    </w:p>
    <w:p>
      <w:pPr>
        <w:spacing w:line="480" w:lineRule="auto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八、实施标准的要求和措施的建议</w:t>
      </w:r>
    </w:p>
    <w:p>
      <w:pPr>
        <w:spacing w:line="312" w:lineRule="auto"/>
        <w:ind w:firstLine="480" w:firstLineChars="200"/>
        <w:rPr>
          <w:color w:val="000000"/>
          <w:sz w:val="24"/>
        </w:rPr>
      </w:pPr>
      <w:r>
        <w:rPr>
          <w:rFonts w:hAnsi="宋体"/>
          <w:color w:val="000000"/>
          <w:sz w:val="24"/>
        </w:rPr>
        <w:t>因为</w:t>
      </w:r>
      <w:r>
        <w:rPr>
          <w:rFonts w:hint="eastAsia" w:hAnsi="宋体"/>
          <w:color w:val="000000"/>
          <w:sz w:val="24"/>
          <w:lang w:eastAsia="zh-CN"/>
        </w:rPr>
        <w:t>靶球</w:t>
      </w:r>
      <w:r>
        <w:rPr>
          <w:rFonts w:hAnsi="宋体"/>
          <w:color w:val="000000"/>
          <w:sz w:val="24"/>
        </w:rPr>
        <w:t>是激光跟踪仪</w:t>
      </w:r>
      <w:r>
        <w:rPr>
          <w:rFonts w:hint="eastAsia" w:hAnsi="宋体"/>
          <w:color w:val="000000"/>
          <w:sz w:val="24"/>
        </w:rPr>
        <w:t>、</w:t>
      </w:r>
      <w:r>
        <w:rPr>
          <w:rFonts w:hAnsi="宋体"/>
          <w:color w:val="000000"/>
          <w:sz w:val="24"/>
        </w:rPr>
        <w:t>摄影测量系统</w:t>
      </w:r>
      <w:r>
        <w:rPr>
          <w:rFonts w:hint="eastAsia" w:hAnsi="宋体"/>
          <w:color w:val="000000"/>
          <w:sz w:val="24"/>
        </w:rPr>
        <w:t>、经纬仪、全站仪使用和校准中的</w:t>
      </w:r>
      <w:r>
        <w:rPr>
          <w:rFonts w:hAnsi="宋体"/>
          <w:color w:val="000000"/>
          <w:sz w:val="24"/>
        </w:rPr>
        <w:t>一</w:t>
      </w:r>
      <w:r>
        <w:rPr>
          <w:rFonts w:hint="eastAsia" w:hAnsi="宋体"/>
          <w:color w:val="000000"/>
          <w:sz w:val="24"/>
        </w:rPr>
        <w:t>组</w:t>
      </w:r>
      <w:r>
        <w:rPr>
          <w:rFonts w:hAnsi="宋体"/>
          <w:color w:val="000000"/>
          <w:sz w:val="24"/>
        </w:rPr>
        <w:t>重要的计量器具</w:t>
      </w:r>
      <w:r>
        <w:rPr>
          <w:rFonts w:hint="eastAsia" w:hAnsi="宋体"/>
          <w:color w:val="000000"/>
          <w:sz w:val="24"/>
        </w:rPr>
        <w:t>，</w:t>
      </w:r>
      <w:r>
        <w:rPr>
          <w:rFonts w:hAnsi="宋体"/>
          <w:color w:val="000000"/>
          <w:sz w:val="24"/>
        </w:rPr>
        <w:t>所以希望该规范能及时得到通过，并宣贯执行。以保证</w:t>
      </w:r>
      <w:r>
        <w:rPr>
          <w:rFonts w:hint="eastAsia" w:hAnsi="宋体"/>
          <w:color w:val="000000"/>
          <w:sz w:val="24"/>
          <w:lang w:eastAsia="zh-CN"/>
        </w:rPr>
        <w:t>靶球</w:t>
      </w:r>
      <w:r>
        <w:rPr>
          <w:rFonts w:hAnsi="宋体"/>
          <w:color w:val="000000"/>
          <w:sz w:val="24"/>
        </w:rPr>
        <w:t>校准工作的开展。</w:t>
      </w:r>
    </w:p>
    <w:p>
      <w:pPr>
        <w:spacing w:line="480" w:lineRule="auto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九、其他要说明的事项</w:t>
      </w:r>
    </w:p>
    <w:p>
      <w:pPr>
        <w:spacing w:line="312" w:lineRule="auto"/>
        <w:ind w:firstLine="480" w:firstLineChars="200"/>
        <w:rPr>
          <w:color w:val="000000"/>
          <w:sz w:val="24"/>
        </w:rPr>
      </w:pPr>
      <w:r>
        <w:rPr>
          <w:rFonts w:hint="eastAsia" w:hAnsi="宋体"/>
          <w:color w:val="000000"/>
          <w:sz w:val="24"/>
        </w:rPr>
        <w:t>无</w:t>
      </w:r>
      <w:r>
        <w:rPr>
          <w:color w:val="000000"/>
          <w:sz w:val="24"/>
        </w:rPr>
        <w:t>。</w:t>
      </w:r>
    </w:p>
    <w:p>
      <w:pPr>
        <w:spacing w:line="480" w:lineRule="auto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十、参考资料清单</w:t>
      </w:r>
    </w:p>
    <w:p>
      <w:pPr>
        <w:spacing w:line="312" w:lineRule="auto"/>
        <w:ind w:firstLine="435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JJF 1422-2013 坐标测量球校准规范</w:t>
      </w:r>
    </w:p>
    <w:p>
      <w:pPr>
        <w:spacing w:line="312" w:lineRule="auto"/>
        <w:ind w:firstLine="435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JJF 1242-2010 激光跟踪三维坐标测量系统校准规范</w:t>
      </w:r>
    </w:p>
    <w:p>
      <w:pPr>
        <w:spacing w:line="312" w:lineRule="auto"/>
        <w:ind w:firstLine="435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GJB 6201-2008 激光跟踪仪校准规范</w:t>
      </w:r>
    </w:p>
    <w:p>
      <w:pPr>
        <w:spacing w:line="312" w:lineRule="auto"/>
        <w:ind w:firstLine="435"/>
        <w:rPr>
          <w:rFonts w:hint="eastAsia" w:eastAsia="宋体"/>
          <w:color w:val="000000"/>
          <w:sz w:val="24"/>
          <w:lang w:eastAsia="zh-CN"/>
        </w:rPr>
      </w:pPr>
      <w:r>
        <w:rPr>
          <w:rFonts w:hint="eastAsia" w:eastAsia="宋体"/>
          <w:color w:val="000000"/>
          <w:sz w:val="24"/>
          <w:lang w:eastAsia="zh-CN"/>
        </w:rPr>
        <w:t>GB</w:t>
      </w:r>
      <w:r>
        <w:rPr>
          <w:rFonts w:hint="eastAsia"/>
          <w:color w:val="000000"/>
          <w:sz w:val="24"/>
          <w:lang w:val="en-US" w:eastAsia="zh-CN"/>
        </w:rPr>
        <w:t>/</w:t>
      </w:r>
      <w:r>
        <w:rPr>
          <w:rFonts w:hint="eastAsia" w:eastAsia="宋体"/>
          <w:color w:val="000000"/>
          <w:sz w:val="24"/>
          <w:lang w:eastAsia="zh-CN"/>
        </w:rPr>
        <w:t>T 16857.10-2022 产品几何技术规范（GPS） 坐标测量系统（CMS）的验收检测和复检检测 第10部分：激光跟踪仪</w:t>
      </w:r>
    </w:p>
    <w:p>
      <w:pPr>
        <w:spacing w:line="312" w:lineRule="auto"/>
        <w:ind w:firstLine="435"/>
        <w:rPr>
          <w:color w:val="000000"/>
          <w:sz w:val="24"/>
        </w:rPr>
      </w:pPr>
    </w:p>
    <w:sectPr>
      <w:footerReference r:id="rId3" w:type="default"/>
      <w:footerReference r:id="rId4" w:type="even"/>
      <w:type w:val="continuous"/>
      <w:pgSz w:w="11906" w:h="16838"/>
      <w:pgMar w:top="1440" w:right="1797" w:bottom="1440" w:left="1797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separate"/>
    </w:r>
    <w:r>
      <w:rPr>
        <w:rStyle w:val="14"/>
      </w:rPr>
      <w:t>7</w:t>
    </w:r>
    <w:r>
      <w:rPr>
        <w:rStyle w:val="14"/>
      </w:rP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end"/>
    </w:r>
  </w:p>
  <w:p>
    <w:pPr>
      <w:pStyle w:val="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BE2223"/>
    <w:multiLevelType w:val="multilevel"/>
    <w:tmpl w:val="29BE2223"/>
    <w:lvl w:ilvl="0" w:tentative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U4YzQwN2Y5ODg0OTk3NWRmZjk2NzNlZmIzMDE3N2QifQ=="/>
  </w:docVars>
  <w:rsids>
    <w:rsidRoot w:val="007A7878"/>
    <w:rsid w:val="00025110"/>
    <w:rsid w:val="000306BA"/>
    <w:rsid w:val="00030C67"/>
    <w:rsid w:val="000459C1"/>
    <w:rsid w:val="00050782"/>
    <w:rsid w:val="000645B1"/>
    <w:rsid w:val="000656F3"/>
    <w:rsid w:val="000724EA"/>
    <w:rsid w:val="00072D73"/>
    <w:rsid w:val="00086664"/>
    <w:rsid w:val="000A2EBE"/>
    <w:rsid w:val="000B1038"/>
    <w:rsid w:val="000B1899"/>
    <w:rsid w:val="000C3853"/>
    <w:rsid w:val="000D3EEC"/>
    <w:rsid w:val="001000BD"/>
    <w:rsid w:val="00105A5A"/>
    <w:rsid w:val="001122C0"/>
    <w:rsid w:val="0012230D"/>
    <w:rsid w:val="00127370"/>
    <w:rsid w:val="001275F6"/>
    <w:rsid w:val="00130A38"/>
    <w:rsid w:val="00131805"/>
    <w:rsid w:val="00136FF0"/>
    <w:rsid w:val="00141A88"/>
    <w:rsid w:val="00165F68"/>
    <w:rsid w:val="00180EC5"/>
    <w:rsid w:val="00185833"/>
    <w:rsid w:val="0019261E"/>
    <w:rsid w:val="001B1F15"/>
    <w:rsid w:val="001B4BDD"/>
    <w:rsid w:val="001B5235"/>
    <w:rsid w:val="001C50EA"/>
    <w:rsid w:val="001D0ADF"/>
    <w:rsid w:val="001D424F"/>
    <w:rsid w:val="001F4B7E"/>
    <w:rsid w:val="00200D49"/>
    <w:rsid w:val="00214566"/>
    <w:rsid w:val="00226C34"/>
    <w:rsid w:val="00227476"/>
    <w:rsid w:val="00236EE4"/>
    <w:rsid w:val="00244884"/>
    <w:rsid w:val="0026219C"/>
    <w:rsid w:val="002B7970"/>
    <w:rsid w:val="002E5978"/>
    <w:rsid w:val="00304ED9"/>
    <w:rsid w:val="00305BA3"/>
    <w:rsid w:val="0032721E"/>
    <w:rsid w:val="00330EF2"/>
    <w:rsid w:val="003319FD"/>
    <w:rsid w:val="00331FED"/>
    <w:rsid w:val="003332E3"/>
    <w:rsid w:val="003338B1"/>
    <w:rsid w:val="003352EC"/>
    <w:rsid w:val="00364137"/>
    <w:rsid w:val="00372149"/>
    <w:rsid w:val="0037576C"/>
    <w:rsid w:val="00377E89"/>
    <w:rsid w:val="00383888"/>
    <w:rsid w:val="00391943"/>
    <w:rsid w:val="003A6FBC"/>
    <w:rsid w:val="003B2CAA"/>
    <w:rsid w:val="003D0F79"/>
    <w:rsid w:val="003D5B03"/>
    <w:rsid w:val="003F1A49"/>
    <w:rsid w:val="003F5EE3"/>
    <w:rsid w:val="00414904"/>
    <w:rsid w:val="004328FF"/>
    <w:rsid w:val="004368AE"/>
    <w:rsid w:val="00446A2D"/>
    <w:rsid w:val="0046310B"/>
    <w:rsid w:val="004639F6"/>
    <w:rsid w:val="00465E0A"/>
    <w:rsid w:val="004672B1"/>
    <w:rsid w:val="00483E7A"/>
    <w:rsid w:val="004A1472"/>
    <w:rsid w:val="004B4F3C"/>
    <w:rsid w:val="004C75A5"/>
    <w:rsid w:val="004D59C8"/>
    <w:rsid w:val="004D6B3D"/>
    <w:rsid w:val="004E195B"/>
    <w:rsid w:val="004E5F03"/>
    <w:rsid w:val="004F76BC"/>
    <w:rsid w:val="00516EFD"/>
    <w:rsid w:val="00517F78"/>
    <w:rsid w:val="00533A0C"/>
    <w:rsid w:val="00545A7E"/>
    <w:rsid w:val="005473A3"/>
    <w:rsid w:val="00555E39"/>
    <w:rsid w:val="005656AB"/>
    <w:rsid w:val="00576F02"/>
    <w:rsid w:val="0058506D"/>
    <w:rsid w:val="005A5156"/>
    <w:rsid w:val="005E075A"/>
    <w:rsid w:val="005E35BF"/>
    <w:rsid w:val="005F1287"/>
    <w:rsid w:val="005F1E9D"/>
    <w:rsid w:val="006042C4"/>
    <w:rsid w:val="00642C2F"/>
    <w:rsid w:val="00644608"/>
    <w:rsid w:val="00667BE8"/>
    <w:rsid w:val="00676471"/>
    <w:rsid w:val="006877AF"/>
    <w:rsid w:val="0068785F"/>
    <w:rsid w:val="0069448A"/>
    <w:rsid w:val="00696EAB"/>
    <w:rsid w:val="006B3168"/>
    <w:rsid w:val="006C3513"/>
    <w:rsid w:val="00705595"/>
    <w:rsid w:val="007228D9"/>
    <w:rsid w:val="0076503D"/>
    <w:rsid w:val="00773B1C"/>
    <w:rsid w:val="00777649"/>
    <w:rsid w:val="0078065D"/>
    <w:rsid w:val="007A455E"/>
    <w:rsid w:val="007A7878"/>
    <w:rsid w:val="007B211D"/>
    <w:rsid w:val="007D7FF2"/>
    <w:rsid w:val="007E6CD0"/>
    <w:rsid w:val="00822369"/>
    <w:rsid w:val="00822EA2"/>
    <w:rsid w:val="00834B4D"/>
    <w:rsid w:val="008508AC"/>
    <w:rsid w:val="0085788F"/>
    <w:rsid w:val="00890154"/>
    <w:rsid w:val="0089618D"/>
    <w:rsid w:val="008A16D6"/>
    <w:rsid w:val="008B222E"/>
    <w:rsid w:val="008C6825"/>
    <w:rsid w:val="008E6718"/>
    <w:rsid w:val="00916676"/>
    <w:rsid w:val="00926D9A"/>
    <w:rsid w:val="009376BD"/>
    <w:rsid w:val="009417E6"/>
    <w:rsid w:val="00953102"/>
    <w:rsid w:val="00961C93"/>
    <w:rsid w:val="009B0E4D"/>
    <w:rsid w:val="009B19C8"/>
    <w:rsid w:val="009B6BF9"/>
    <w:rsid w:val="009C275C"/>
    <w:rsid w:val="009C7761"/>
    <w:rsid w:val="009E201F"/>
    <w:rsid w:val="009E5740"/>
    <w:rsid w:val="009F1979"/>
    <w:rsid w:val="009F3EAD"/>
    <w:rsid w:val="009F57A8"/>
    <w:rsid w:val="009F6A12"/>
    <w:rsid w:val="00A0727F"/>
    <w:rsid w:val="00A10E2B"/>
    <w:rsid w:val="00A47C6B"/>
    <w:rsid w:val="00A67887"/>
    <w:rsid w:val="00A75EE7"/>
    <w:rsid w:val="00A8067F"/>
    <w:rsid w:val="00A95390"/>
    <w:rsid w:val="00A97462"/>
    <w:rsid w:val="00AB452D"/>
    <w:rsid w:val="00AB5577"/>
    <w:rsid w:val="00AB6ED4"/>
    <w:rsid w:val="00AD07F3"/>
    <w:rsid w:val="00AF2856"/>
    <w:rsid w:val="00AF4FC6"/>
    <w:rsid w:val="00B071E8"/>
    <w:rsid w:val="00B121FD"/>
    <w:rsid w:val="00B20A83"/>
    <w:rsid w:val="00B2637A"/>
    <w:rsid w:val="00B27A95"/>
    <w:rsid w:val="00B473AE"/>
    <w:rsid w:val="00B51479"/>
    <w:rsid w:val="00B5385B"/>
    <w:rsid w:val="00B64FDF"/>
    <w:rsid w:val="00B702B4"/>
    <w:rsid w:val="00B7185E"/>
    <w:rsid w:val="00BA525D"/>
    <w:rsid w:val="00BA6255"/>
    <w:rsid w:val="00BB4E08"/>
    <w:rsid w:val="00BD61CE"/>
    <w:rsid w:val="00BF12D9"/>
    <w:rsid w:val="00BF7B4C"/>
    <w:rsid w:val="00C01216"/>
    <w:rsid w:val="00C02BE2"/>
    <w:rsid w:val="00C0434A"/>
    <w:rsid w:val="00C14335"/>
    <w:rsid w:val="00C2739E"/>
    <w:rsid w:val="00C30B10"/>
    <w:rsid w:val="00C41D02"/>
    <w:rsid w:val="00C71D1E"/>
    <w:rsid w:val="00C746E3"/>
    <w:rsid w:val="00CA257A"/>
    <w:rsid w:val="00CA5584"/>
    <w:rsid w:val="00CE047A"/>
    <w:rsid w:val="00D00071"/>
    <w:rsid w:val="00D06DCC"/>
    <w:rsid w:val="00D11215"/>
    <w:rsid w:val="00D12842"/>
    <w:rsid w:val="00D2497D"/>
    <w:rsid w:val="00D25B77"/>
    <w:rsid w:val="00D3432A"/>
    <w:rsid w:val="00D403CF"/>
    <w:rsid w:val="00D500A8"/>
    <w:rsid w:val="00D65012"/>
    <w:rsid w:val="00D65BBC"/>
    <w:rsid w:val="00D71978"/>
    <w:rsid w:val="00D90419"/>
    <w:rsid w:val="00DA04D2"/>
    <w:rsid w:val="00DA57B9"/>
    <w:rsid w:val="00DC26BF"/>
    <w:rsid w:val="00DC3AF9"/>
    <w:rsid w:val="00DC6548"/>
    <w:rsid w:val="00DE7451"/>
    <w:rsid w:val="00DF0F30"/>
    <w:rsid w:val="00E00E1D"/>
    <w:rsid w:val="00E02C4C"/>
    <w:rsid w:val="00E04119"/>
    <w:rsid w:val="00E12732"/>
    <w:rsid w:val="00E22E23"/>
    <w:rsid w:val="00E3419D"/>
    <w:rsid w:val="00E34718"/>
    <w:rsid w:val="00E52673"/>
    <w:rsid w:val="00E54FC5"/>
    <w:rsid w:val="00E55032"/>
    <w:rsid w:val="00E576A1"/>
    <w:rsid w:val="00E6733E"/>
    <w:rsid w:val="00E73760"/>
    <w:rsid w:val="00E85693"/>
    <w:rsid w:val="00E86074"/>
    <w:rsid w:val="00E95467"/>
    <w:rsid w:val="00EA051D"/>
    <w:rsid w:val="00EA1278"/>
    <w:rsid w:val="00EA70DC"/>
    <w:rsid w:val="00EB3AB0"/>
    <w:rsid w:val="00EB6D1B"/>
    <w:rsid w:val="00EC71CC"/>
    <w:rsid w:val="00ED2DC8"/>
    <w:rsid w:val="00ED5CA4"/>
    <w:rsid w:val="00EE3414"/>
    <w:rsid w:val="00EF1668"/>
    <w:rsid w:val="00EF69A2"/>
    <w:rsid w:val="00F31932"/>
    <w:rsid w:val="00F41182"/>
    <w:rsid w:val="00F605A7"/>
    <w:rsid w:val="00F62990"/>
    <w:rsid w:val="00F70868"/>
    <w:rsid w:val="00F83940"/>
    <w:rsid w:val="00F95D5B"/>
    <w:rsid w:val="00FA588F"/>
    <w:rsid w:val="00FD2A24"/>
    <w:rsid w:val="23FE46B0"/>
    <w:rsid w:val="598C7694"/>
    <w:rsid w:val="7898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3">
    <w:name w:val="Default Paragraph Font"/>
    <w:autoRedefine/>
    <w:semiHidden/>
    <w:qFormat/>
    <w:uiPriority w:val="0"/>
  </w:style>
  <w:style w:type="table" w:default="1" w:styleId="11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autoRedefine/>
    <w:qFormat/>
    <w:uiPriority w:val="0"/>
    <w:pPr>
      <w:spacing w:line="360" w:lineRule="auto"/>
      <w:ind w:left="360" w:firstLine="540" w:firstLineChars="225"/>
    </w:pPr>
    <w:rPr>
      <w:sz w:val="24"/>
    </w:rPr>
  </w:style>
  <w:style w:type="paragraph" w:styleId="4">
    <w:name w:val="Plain Text"/>
    <w:basedOn w:val="1"/>
    <w:autoRedefine/>
    <w:qFormat/>
    <w:uiPriority w:val="0"/>
    <w:rPr>
      <w:rFonts w:ascii="宋体" w:hAnsi="Courier New"/>
      <w:szCs w:val="20"/>
    </w:rPr>
  </w:style>
  <w:style w:type="paragraph" w:styleId="5">
    <w:name w:val="Date"/>
    <w:basedOn w:val="1"/>
    <w:next w:val="1"/>
    <w:autoRedefine/>
    <w:qFormat/>
    <w:uiPriority w:val="0"/>
    <w:pPr>
      <w:ind w:left="100" w:leftChars="2500"/>
    </w:pPr>
  </w:style>
  <w:style w:type="paragraph" w:styleId="6">
    <w:name w:val="Body Text Indent 2"/>
    <w:basedOn w:val="1"/>
    <w:autoRedefine/>
    <w:qFormat/>
    <w:uiPriority w:val="0"/>
    <w:pPr>
      <w:spacing w:after="120" w:line="480" w:lineRule="auto"/>
      <w:ind w:left="420" w:leftChars="200"/>
    </w:pPr>
  </w:style>
  <w:style w:type="paragraph" w:styleId="7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8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Indent 3"/>
    <w:basedOn w:val="1"/>
    <w:autoRedefine/>
    <w:qFormat/>
    <w:uiPriority w:val="0"/>
    <w:pPr>
      <w:spacing w:after="120"/>
      <w:ind w:left="420" w:leftChars="200"/>
    </w:pPr>
    <w:rPr>
      <w:sz w:val="16"/>
      <w:szCs w:val="16"/>
    </w:rPr>
  </w:style>
  <w:style w:type="table" w:styleId="12">
    <w:name w:val="Table Grid"/>
    <w:basedOn w:val="11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page number"/>
    <w:basedOn w:val="13"/>
    <w:autoRedefine/>
    <w:qFormat/>
    <w:uiPriority w:val="0"/>
  </w:style>
  <w:style w:type="character" w:styleId="15">
    <w:name w:val="Emphasis"/>
    <w:basedOn w:val="13"/>
    <w:autoRedefine/>
    <w:qFormat/>
    <w:uiPriority w:val="0"/>
    <w:rPr>
      <w:i/>
      <w:iCs/>
    </w:rPr>
  </w:style>
  <w:style w:type="character" w:styleId="16">
    <w:name w:val="Hyperlink"/>
    <w:basedOn w:val="13"/>
    <w:autoRedefine/>
    <w:qFormat/>
    <w:uiPriority w:val="0"/>
    <w:rPr>
      <w:color w:val="0000FF"/>
      <w:u w:val="single"/>
    </w:rPr>
  </w:style>
  <w:style w:type="paragraph" w:customStyle="1" w:styleId="17">
    <w:name w:val="标准文件_段"/>
    <w:autoRedefine/>
    <w:qFormat/>
    <w:uiPriority w:val="0"/>
    <w:pPr>
      <w:autoSpaceDE w:val="0"/>
      <w:autoSpaceDN w:val="0"/>
      <w:adjustRightInd w:val="0"/>
      <w:snapToGrid w:val="0"/>
      <w:spacing w:line="276" w:lineRule="auto"/>
      <w:ind w:left="-105" w:leftChars="-50" w:right="-105" w:rightChars="-50" w:firstLine="648" w:firstLineChars="200"/>
      <w:jc w:val="center"/>
    </w:pPr>
    <w:rPr>
      <w:rFonts w:ascii="Times New Roman" w:hAnsi="Times New Roman" w:eastAsia="宋体" w:cs="Times New Roman"/>
      <w:spacing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304</Company>
  <Pages>9</Pages>
  <Words>799</Words>
  <Characters>4555</Characters>
  <Lines>37</Lines>
  <Paragraphs>10</Paragraphs>
  <TotalTime>0</TotalTime>
  <ScaleCrop>false</ScaleCrop>
  <LinksUpToDate>false</LinksUpToDate>
  <CharactersWithSpaces>5344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2019-12-28T00:02:00Z</dcterms:created>
  <dc:creator>chongcheng1</dc:creator>
  <cp:lastModifiedBy>钱丰</cp:lastModifiedBy>
  <cp:lastPrinted>2007-08-07T07:25:00Z</cp:lastPrinted>
  <dcterms:modified xsi:type="dcterms:W3CDTF">2024-04-17T09:31:06Z</dcterms:modified>
  <dc:title>一等渐开线样板、螺旋线样板检定仪器校准规范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783AAD84165246E2963C31177D011DAA_12</vt:lpwstr>
  </property>
</Properties>
</file>