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heme="majorEastAsia" w:hAnsiTheme="majorEastAsia" w:eastAsiaTheme="majorEastAsia" w:cstheme="majorEastAsia"/>
          <w:sz w:val="28"/>
          <w:szCs w:val="28"/>
        </w:rPr>
      </w:pPr>
    </w:p>
    <w:p>
      <w:pPr>
        <w:spacing w:line="560" w:lineRule="exact"/>
        <w:rPr>
          <w:rFonts w:hint="eastAsia" w:asciiTheme="majorEastAsia" w:hAnsiTheme="majorEastAsia" w:eastAsiaTheme="majorEastAsia" w:cstheme="majorEastAsia"/>
          <w:sz w:val="28"/>
          <w:szCs w:val="28"/>
        </w:rPr>
      </w:pPr>
    </w:p>
    <w:p>
      <w:pPr>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sz w:val="36"/>
          <w:szCs w:val="36"/>
        </w:rPr>
        <w:t>JJFXXX-202X</w:t>
      </w:r>
      <w:r>
        <w:rPr>
          <w:rFonts w:hint="eastAsia" w:asciiTheme="majorEastAsia" w:hAnsiTheme="majorEastAsia" w:eastAsiaTheme="majorEastAsia" w:cstheme="majorEastAsia"/>
          <w:b/>
          <w:sz w:val="36"/>
          <w:szCs w:val="36"/>
        </w:rPr>
        <w:t>《</w:t>
      </w:r>
      <w:r>
        <w:rPr>
          <w:rFonts w:hint="eastAsia" w:asciiTheme="majorEastAsia" w:hAnsiTheme="majorEastAsia" w:eastAsiaTheme="majorEastAsia" w:cstheme="majorEastAsia"/>
          <w:bCs/>
          <w:kern w:val="0"/>
          <w:sz w:val="36"/>
          <w:szCs w:val="36"/>
          <w:lang w:bidi="en-US"/>
        </w:rPr>
        <w:t>蒸汽热能计量技术规范</w:t>
      </w:r>
      <w:r>
        <w:rPr>
          <w:rFonts w:hint="eastAsia" w:asciiTheme="majorEastAsia" w:hAnsiTheme="majorEastAsia" w:eastAsiaTheme="majorEastAsia" w:cstheme="majorEastAsia"/>
          <w:b/>
          <w:sz w:val="36"/>
          <w:szCs w:val="36"/>
        </w:rPr>
        <w:t>》</w:t>
      </w:r>
    </w:p>
    <w:p>
      <w:pPr>
        <w:spacing w:line="560" w:lineRule="exact"/>
        <w:ind w:left="1399" w:hanging="280"/>
        <w:rPr>
          <w:rFonts w:hint="eastAsia" w:asciiTheme="majorEastAsia" w:hAnsiTheme="majorEastAsia" w:eastAsiaTheme="majorEastAsia" w:cstheme="majorEastAsia"/>
          <w:sz w:val="36"/>
          <w:szCs w:val="36"/>
        </w:rPr>
      </w:pPr>
    </w:p>
    <w:p>
      <w:pPr>
        <w:spacing w:line="560" w:lineRule="exact"/>
        <w:ind w:left="1399" w:hanging="280"/>
        <w:rPr>
          <w:rFonts w:hint="eastAsia" w:asciiTheme="majorEastAsia" w:hAnsiTheme="majorEastAsia" w:eastAsiaTheme="majorEastAsia" w:cstheme="majorEastAsia"/>
          <w:sz w:val="36"/>
          <w:szCs w:val="36"/>
        </w:rPr>
      </w:pPr>
    </w:p>
    <w:p>
      <w:pPr>
        <w:spacing w:line="560" w:lineRule="exact"/>
        <w:ind w:left="1399" w:hanging="280"/>
        <w:rPr>
          <w:rFonts w:hint="eastAsia" w:asciiTheme="majorEastAsia" w:hAnsiTheme="majorEastAsia" w:eastAsiaTheme="majorEastAsia" w:cstheme="majorEastAsia"/>
          <w:sz w:val="36"/>
          <w:szCs w:val="36"/>
        </w:rPr>
      </w:pPr>
    </w:p>
    <w:p>
      <w:pPr>
        <w:spacing w:line="560" w:lineRule="exact"/>
        <w:ind w:left="1399" w:hanging="280"/>
        <w:rPr>
          <w:rFonts w:hint="eastAsia" w:asciiTheme="majorEastAsia" w:hAnsiTheme="majorEastAsia" w:eastAsiaTheme="majorEastAsia" w:cstheme="majorEastAsia"/>
          <w:sz w:val="36"/>
          <w:szCs w:val="36"/>
        </w:rPr>
      </w:pPr>
    </w:p>
    <w:p>
      <w:pPr>
        <w:spacing w:line="560" w:lineRule="exact"/>
        <w:ind w:left="1399" w:hanging="280"/>
        <w:rPr>
          <w:rFonts w:hint="eastAsia" w:asciiTheme="majorEastAsia" w:hAnsiTheme="majorEastAsia" w:eastAsiaTheme="majorEastAsia" w:cstheme="majorEastAsia"/>
          <w:sz w:val="36"/>
          <w:szCs w:val="36"/>
        </w:rPr>
      </w:pPr>
    </w:p>
    <w:p>
      <w:pPr>
        <w:spacing w:line="560" w:lineRule="exact"/>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编写说明</w:t>
      </w:r>
    </w:p>
    <w:p>
      <w:pPr>
        <w:spacing w:line="560" w:lineRule="exact"/>
        <w:ind w:left="1399" w:hanging="280"/>
        <w:rPr>
          <w:rFonts w:hint="eastAsia" w:asciiTheme="majorEastAsia" w:hAnsiTheme="majorEastAsia" w:eastAsiaTheme="majorEastAsia" w:cstheme="majorEastAsia"/>
          <w:sz w:val="36"/>
          <w:szCs w:val="36"/>
        </w:rPr>
      </w:pPr>
    </w:p>
    <w:p>
      <w:pPr>
        <w:spacing w:line="560" w:lineRule="exact"/>
        <w:ind w:left="1399" w:hanging="280"/>
        <w:rPr>
          <w:rFonts w:hint="eastAsia" w:asciiTheme="majorEastAsia" w:hAnsiTheme="majorEastAsia" w:eastAsiaTheme="majorEastAsia" w:cstheme="majorEastAsia"/>
          <w:sz w:val="36"/>
          <w:szCs w:val="36"/>
        </w:rPr>
      </w:pPr>
    </w:p>
    <w:p>
      <w:pPr>
        <w:spacing w:line="560" w:lineRule="exact"/>
        <w:ind w:left="1399" w:hanging="280"/>
        <w:rPr>
          <w:rFonts w:hint="eastAsia" w:asciiTheme="majorEastAsia" w:hAnsiTheme="majorEastAsia" w:eastAsiaTheme="majorEastAsia" w:cstheme="majorEastAsia"/>
          <w:sz w:val="36"/>
          <w:szCs w:val="36"/>
        </w:rPr>
      </w:pPr>
    </w:p>
    <w:p>
      <w:pPr>
        <w:spacing w:line="560" w:lineRule="exact"/>
        <w:ind w:left="1399" w:hanging="280"/>
        <w:rPr>
          <w:rFonts w:hint="eastAsia" w:asciiTheme="majorEastAsia" w:hAnsiTheme="majorEastAsia" w:eastAsiaTheme="majorEastAsia" w:cstheme="majorEastAsia"/>
          <w:sz w:val="36"/>
          <w:szCs w:val="36"/>
        </w:rPr>
      </w:pPr>
    </w:p>
    <w:p>
      <w:pPr>
        <w:spacing w:line="560" w:lineRule="exact"/>
        <w:rPr>
          <w:rFonts w:hint="eastAsia" w:asciiTheme="majorEastAsia" w:hAnsiTheme="majorEastAsia" w:eastAsiaTheme="majorEastAsia" w:cstheme="majorEastAsia"/>
          <w:sz w:val="36"/>
          <w:szCs w:val="36"/>
        </w:rPr>
      </w:pPr>
    </w:p>
    <w:p>
      <w:pPr>
        <w:spacing w:line="560" w:lineRule="exact"/>
        <w:rPr>
          <w:rFonts w:hint="eastAsia" w:asciiTheme="majorEastAsia" w:hAnsiTheme="majorEastAsia" w:eastAsiaTheme="majorEastAsia" w:cstheme="majorEastAsia"/>
          <w:sz w:val="36"/>
          <w:szCs w:val="36"/>
        </w:rPr>
      </w:pPr>
    </w:p>
    <w:p>
      <w:pPr>
        <w:spacing w:line="560" w:lineRule="exact"/>
        <w:ind w:firstLine="1120"/>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 xml:space="preserve">                </w:t>
      </w:r>
    </w:p>
    <w:p>
      <w:pPr>
        <w:spacing w:line="560" w:lineRule="exact"/>
        <w:ind w:firstLine="4500" w:firstLineChars="1250"/>
        <w:rPr>
          <w:rFonts w:hint="eastAsia" w:asciiTheme="majorEastAsia" w:hAnsiTheme="majorEastAsia" w:eastAsiaTheme="majorEastAsia" w:cstheme="majorEastAsia"/>
          <w:sz w:val="36"/>
          <w:szCs w:val="36"/>
        </w:rPr>
      </w:pPr>
    </w:p>
    <w:p>
      <w:pPr>
        <w:spacing w:after="0"/>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技术规范起草小组</w:t>
      </w:r>
    </w:p>
    <w:p>
      <w:pPr>
        <w:spacing w:after="0"/>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2024年4月</w:t>
      </w:r>
    </w:p>
    <w:p>
      <w:pPr>
        <w:spacing w:after="0"/>
        <w:rPr>
          <w:rFonts w:hint="eastAsia" w:asciiTheme="majorEastAsia" w:hAnsiTheme="majorEastAsia" w:eastAsiaTheme="majorEastAsia" w:cstheme="majorEastAsia"/>
          <w:sz w:val="36"/>
          <w:szCs w:val="36"/>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start="1" w:chapStyle="1"/>
          <w:cols w:space="425" w:num="1"/>
          <w:docGrid w:type="lines" w:linePitch="639" w:charSpace="0"/>
        </w:sectPr>
      </w:pPr>
    </w:p>
    <w:p>
      <w:pPr>
        <w:keepNext w:val="0"/>
        <w:keepLines w:val="0"/>
        <w:pageBreakBefore w:val="0"/>
        <w:widowControl w:val="0"/>
        <w:kinsoku/>
        <w:wordWrap/>
        <w:overflowPunct/>
        <w:topLinePunct w:val="0"/>
        <w:autoSpaceDE/>
        <w:autoSpaceDN/>
        <w:bidi w:val="0"/>
        <w:adjustRightInd w:val="0"/>
        <w:snapToGrid w:val="0"/>
        <w:spacing w:before="360" w:after="12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《蒸汽热能计量技术规范》编写说明</w:t>
      </w:r>
    </w:p>
    <w:p>
      <w:pPr>
        <w:keepNext w:val="0"/>
        <w:keepLines w:val="0"/>
        <w:pageBreakBefore w:val="0"/>
        <w:widowControl w:val="0"/>
        <w:tabs>
          <w:tab w:val="left" w:pos="622"/>
        </w:tabs>
        <w:kinsoku/>
        <w:wordWrap/>
        <w:overflowPunct/>
        <w:topLinePunct w:val="0"/>
        <w:autoSpaceDE/>
        <w:autoSpaceDN/>
        <w:bidi w:val="0"/>
        <w:adjustRightInd w:val="0"/>
        <w:snapToGrid w:val="0"/>
        <w:spacing w:before="360" w:after="120" w:line="240" w:lineRule="auto"/>
        <w:textAlignment w:val="auto"/>
        <w:rPr>
          <w:rFonts w:hint="eastAsia" w:ascii="黑体" w:hAnsi="黑体" w:eastAsia="黑体" w:cs="黑体"/>
          <w:sz w:val="32"/>
          <w:szCs w:val="32"/>
        </w:rPr>
      </w:pPr>
      <w:r>
        <w:rPr>
          <w:rFonts w:hint="eastAsia" w:ascii="黑体" w:hAnsi="黑体" w:eastAsia="黑体" w:cs="黑体"/>
          <w:sz w:val="32"/>
          <w:szCs w:val="32"/>
        </w:rPr>
        <w:t>一、任务来源</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2021年10月</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国家蒸汽流量计量站作为牵头起草单位正式向全国能源资源计量技术委员会能源计量分技术委员会(MTC36/SC1，以下简称委员会)提交了《蒸汽热能计量技术规范》立项申请书。</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2022年7月</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国家市场监督管理总局办公厅下达《市场监管总局办公厅关于印发2022年国家计量技术规范制定、修订及宣贯计划的通知》（市监计量发</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2022</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70号），《蒸汽热能计量技术规范》任务下达到委员会。国家蒸汽流量计量站和中国计量科学研究院作为主要起草单位接受了《蒸汽热能计量技术规范》的制定任务。</w:t>
      </w:r>
    </w:p>
    <w:p>
      <w:pPr>
        <w:keepNext w:val="0"/>
        <w:keepLines w:val="0"/>
        <w:pageBreakBefore w:val="0"/>
        <w:widowControl w:val="0"/>
        <w:tabs>
          <w:tab w:val="left" w:pos="622"/>
        </w:tabs>
        <w:kinsoku/>
        <w:wordWrap/>
        <w:overflowPunct/>
        <w:topLinePunct w:val="0"/>
        <w:autoSpaceDE/>
        <w:autoSpaceDN/>
        <w:bidi w:val="0"/>
        <w:adjustRightInd w:val="0"/>
        <w:snapToGrid w:val="0"/>
        <w:spacing w:before="360" w:after="120" w:line="240" w:lineRule="auto"/>
        <w:textAlignment w:val="auto"/>
        <w:rPr>
          <w:rFonts w:hint="eastAsia" w:ascii="黑体" w:hAnsi="黑体" w:eastAsia="黑体" w:cs="黑体"/>
          <w:sz w:val="32"/>
          <w:szCs w:val="32"/>
        </w:rPr>
      </w:pPr>
      <w:r>
        <w:rPr>
          <w:rFonts w:hint="eastAsia" w:ascii="黑体" w:hAnsi="黑体" w:eastAsia="黑体" w:cs="黑体"/>
          <w:sz w:val="32"/>
          <w:szCs w:val="32"/>
        </w:rPr>
        <w:t>二、立项必要性</w:t>
      </w:r>
    </w:p>
    <w:p>
      <w:pPr>
        <w:spacing w:after="0"/>
        <w:ind w:firstLine="560" w:firstLineChars="200"/>
        <w:rPr>
          <w:rFonts w:hint="eastAsia" w:asciiTheme="majorEastAsia" w:hAnsiTheme="majorEastAsia" w:eastAsiaTheme="majorEastAsia" w:cstheme="majorEastAsia"/>
          <w:sz w:val="28"/>
          <w:szCs w:val="28"/>
        </w:rPr>
      </w:pPr>
      <w:bookmarkStart w:id="0" w:name="OLE_LINK17"/>
      <w:bookmarkStart w:id="1" w:name="OLE_LINK18"/>
      <w:r>
        <w:rPr>
          <w:rFonts w:hint="eastAsia" w:asciiTheme="majorEastAsia" w:hAnsiTheme="majorEastAsia" w:eastAsiaTheme="majorEastAsia" w:cstheme="majorEastAsia"/>
          <w:sz w:val="28"/>
          <w:szCs w:val="28"/>
        </w:rPr>
        <w:t>2020年9月22日，习近平主席在第七十五届联合国大会上宣布，中国力争 2030 年前碳排放达到峰值，努力争取 2060年前实现碳中和目标。2021年12月6日，市场监管总局提出科学制定《建立健全碳达峰碳中和标准计量体系实施方案》和《市场监管系统推进碳达峰碳中和工作实施方案》。国家能源局提出</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十四五</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能耗目标：单位GDP能耗降低13.5% ，加快形成能源节约型社会。</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节能降耗指标量化压力倒逼能源计量改革，作为能量重要载体的蒸汽是重要的二次能源，在工业企业以及人民生活中广泛应用。蒸汽应用主要是利用所</w:t>
      </w:r>
      <w:r>
        <w:rPr>
          <w:rFonts w:hint="eastAsia" w:asciiTheme="majorEastAsia" w:hAnsiTheme="majorEastAsia" w:eastAsiaTheme="majorEastAsia" w:cstheme="majorEastAsia"/>
          <w:sz w:val="28"/>
          <w:szCs w:val="28"/>
        </w:rPr>
        <w:t>载</w:t>
      </w:r>
      <w:r>
        <w:rPr>
          <w:rFonts w:hint="eastAsia" w:asciiTheme="majorEastAsia" w:hAnsiTheme="majorEastAsia" w:eastAsiaTheme="majorEastAsia" w:cstheme="majorEastAsia"/>
          <w:sz w:val="28"/>
          <w:szCs w:val="28"/>
        </w:rPr>
        <w:t>之热能或其做功能力</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长期以来，我国在工业蒸汽的生产、输送、使用和损耗上以质量流量作为结算单位。对主要以热能为利用目的的用户，其使用的是蒸汽所携带的热量，而蒸汽温度、压力不同，则蒸汽比焓不同，因此采用质量流量对蒸汽用量或损耗进行评估的做法在计量方案、检测手段和收费政策等方面存在诸多不合理之处。</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鉴于蒸汽质量计量做法对供方提供蒸汽产品质量和用方节能降耗积极性均产生不利影响，目前我国蒸汽贸易结算已经部分采用热能计量，然而到目前尚没有蒸汽热能计量的技术规范对蒸汽比焓、密度等热能计量关键物性参数进行统一规定，导致蒸汽热能计量方法不一，乱象丛生。亟待出台蒸汽热能计量技术规范对蒸汽热能贸易结算予以规范指导。</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目前在蒸汽计量领域，主要的依据技术文件有IAPWS-IF97及GB/T34060-2017《蒸汽热量计算方法》，由中国计量科学研究院和国家蒸汽流量计量站等单位起草的《静态质量法蒸汽流量标准装置检定规程》正在等待发布。未来蒸汽热能计量是势在必行，蒸汽热能计量技术规范亟待立项制定，填补该领域空白。</w:t>
      </w:r>
      <w:bookmarkEnd w:id="0"/>
      <w:bookmarkEnd w:id="1"/>
    </w:p>
    <w:p>
      <w:pPr>
        <w:keepNext w:val="0"/>
        <w:keepLines w:val="0"/>
        <w:pageBreakBefore w:val="0"/>
        <w:widowControl w:val="0"/>
        <w:tabs>
          <w:tab w:val="left" w:pos="622"/>
        </w:tabs>
        <w:kinsoku/>
        <w:wordWrap/>
        <w:overflowPunct/>
        <w:topLinePunct w:val="0"/>
        <w:autoSpaceDE/>
        <w:autoSpaceDN/>
        <w:bidi w:val="0"/>
        <w:adjustRightInd w:val="0"/>
        <w:snapToGrid w:val="0"/>
        <w:spacing w:before="360" w:after="120" w:line="240" w:lineRule="auto"/>
        <w:textAlignment w:val="auto"/>
        <w:rPr>
          <w:rFonts w:hint="eastAsia" w:ascii="黑体" w:hAnsi="黑体" w:eastAsia="黑体" w:cs="黑体"/>
          <w:sz w:val="32"/>
          <w:szCs w:val="32"/>
        </w:rPr>
      </w:pPr>
      <w:r>
        <w:rPr>
          <w:rFonts w:hint="eastAsia" w:ascii="黑体" w:hAnsi="黑体" w:eastAsia="黑体" w:cs="黑体"/>
          <w:sz w:val="32"/>
          <w:szCs w:val="32"/>
        </w:rPr>
        <w:t>三、规范制定工作概况</w:t>
      </w:r>
    </w:p>
    <w:p>
      <w:pPr>
        <w:keepNext w:val="0"/>
        <w:keepLines w:val="0"/>
        <w:pageBreakBefore w:val="0"/>
        <w:widowControl w:val="0"/>
        <w:kinsoku/>
        <w:wordWrap/>
        <w:overflowPunct/>
        <w:topLinePunct w:val="0"/>
        <w:autoSpaceDE/>
        <w:autoSpaceDN/>
        <w:bidi w:val="0"/>
        <w:adjustRightInd w:val="0"/>
        <w:snapToGrid w:val="0"/>
        <w:spacing w:before="240" w:after="120"/>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（一）2021年5月至2021年9月</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开展调研，收集</w:t>
      </w:r>
      <w:r>
        <w:rPr>
          <w:rFonts w:hint="eastAsia" w:asciiTheme="majorEastAsia" w:hAnsiTheme="majorEastAsia" w:eastAsiaTheme="majorEastAsia" w:cstheme="majorEastAsia"/>
          <w:sz w:val="28"/>
          <w:szCs w:val="28"/>
        </w:rPr>
        <w:t>国内外</w:t>
      </w:r>
      <w:r>
        <w:rPr>
          <w:rFonts w:hint="eastAsia" w:asciiTheme="majorEastAsia" w:hAnsiTheme="majorEastAsia" w:eastAsiaTheme="majorEastAsia" w:cstheme="majorEastAsia"/>
          <w:sz w:val="28"/>
          <w:szCs w:val="28"/>
        </w:rPr>
        <w:t>行业信息</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查阅相关技术资料、文献，为</w:t>
      </w:r>
      <w:r>
        <w:rPr>
          <w:rFonts w:hint="eastAsia" w:asciiTheme="majorEastAsia" w:hAnsiTheme="majorEastAsia" w:eastAsiaTheme="majorEastAsia" w:cstheme="majorEastAsia"/>
          <w:sz w:val="28"/>
          <w:szCs w:val="28"/>
        </w:rPr>
        <w:t>制定《蒸汽热能计量技术规范》</w:t>
      </w:r>
      <w:r>
        <w:rPr>
          <w:rFonts w:hint="eastAsia" w:asciiTheme="majorEastAsia" w:hAnsiTheme="majorEastAsia" w:eastAsiaTheme="majorEastAsia" w:cstheme="majorEastAsia"/>
          <w:sz w:val="28"/>
          <w:szCs w:val="28"/>
        </w:rPr>
        <w:t>进行技术和人员准备。</w:t>
      </w:r>
    </w:p>
    <w:p>
      <w:pPr>
        <w:keepNext w:val="0"/>
        <w:keepLines w:val="0"/>
        <w:pageBreakBefore w:val="0"/>
        <w:widowControl w:val="0"/>
        <w:kinsoku/>
        <w:wordWrap/>
        <w:overflowPunct/>
        <w:topLinePunct w:val="0"/>
        <w:autoSpaceDE/>
        <w:autoSpaceDN/>
        <w:bidi w:val="0"/>
        <w:adjustRightInd w:val="0"/>
        <w:snapToGrid w:val="0"/>
        <w:spacing w:before="240" w:after="120"/>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（二）2021年10月</w:t>
      </w:r>
      <w:r>
        <w:rPr>
          <w:rFonts w:hint="eastAsia" w:asciiTheme="majorEastAsia" w:hAnsiTheme="majorEastAsia" w:eastAsiaTheme="majorEastAsia" w:cstheme="majorEastAsia"/>
          <w:sz w:val="28"/>
          <w:szCs w:val="28"/>
        </w:rPr>
        <w:t>至2022年7月</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编制《</w:t>
      </w:r>
      <w:r>
        <w:rPr>
          <w:rFonts w:hint="eastAsia" w:asciiTheme="majorEastAsia" w:hAnsiTheme="majorEastAsia" w:eastAsiaTheme="majorEastAsia" w:cstheme="majorEastAsia"/>
          <w:sz w:val="28"/>
          <w:szCs w:val="28"/>
        </w:rPr>
        <w:t>蒸汽热能计量技术规范</w:t>
      </w:r>
      <w:r>
        <w:rPr>
          <w:rFonts w:hint="eastAsia" w:asciiTheme="majorEastAsia" w:hAnsiTheme="majorEastAsia" w:eastAsiaTheme="majorEastAsia" w:cstheme="majorEastAsia"/>
          <w:sz w:val="28"/>
          <w:szCs w:val="28"/>
        </w:rPr>
        <w:t>项目申报书》</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向全国能源资源计量技术委员会能源计量分技术委员会</w:t>
      </w:r>
      <w:r>
        <w:rPr>
          <w:rFonts w:hint="eastAsia" w:asciiTheme="majorEastAsia" w:hAnsiTheme="majorEastAsia" w:eastAsiaTheme="majorEastAsia" w:cstheme="majorEastAsia"/>
          <w:sz w:val="28"/>
          <w:szCs w:val="28"/>
        </w:rPr>
        <w:t>提报</w:t>
      </w:r>
      <w:r>
        <w:rPr>
          <w:rFonts w:hint="eastAsia" w:asciiTheme="majorEastAsia" w:hAnsiTheme="majorEastAsia" w:eastAsiaTheme="majorEastAsia" w:cstheme="majorEastAsia"/>
          <w:sz w:val="28"/>
          <w:szCs w:val="28"/>
        </w:rPr>
        <w:t>申请</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2022年7月国家市场监督管理总局办公厅下达立项任务，随即成立技术规范起草小组。</w:t>
      </w:r>
    </w:p>
    <w:p>
      <w:pPr>
        <w:keepNext w:val="0"/>
        <w:keepLines w:val="0"/>
        <w:pageBreakBefore w:val="0"/>
        <w:widowControl w:val="0"/>
        <w:kinsoku/>
        <w:wordWrap/>
        <w:overflowPunct/>
        <w:topLinePunct w:val="0"/>
        <w:autoSpaceDE/>
        <w:autoSpaceDN/>
        <w:bidi w:val="0"/>
        <w:adjustRightInd w:val="0"/>
        <w:snapToGrid w:val="0"/>
        <w:spacing w:before="240" w:after="120"/>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（三）2022年8月至2023年</w:t>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t>月</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技术规范起草小组于2022年8月</w:t>
      </w:r>
      <w:r>
        <w:rPr>
          <w:rFonts w:hint="eastAsia" w:asciiTheme="majorEastAsia" w:hAnsiTheme="majorEastAsia" w:eastAsiaTheme="majorEastAsia" w:cstheme="majorEastAsia"/>
          <w:sz w:val="28"/>
          <w:szCs w:val="28"/>
        </w:rPr>
        <w:t>正式</w:t>
      </w:r>
      <w:r>
        <w:rPr>
          <w:rFonts w:hint="eastAsia" w:asciiTheme="majorEastAsia" w:hAnsiTheme="majorEastAsia" w:eastAsiaTheme="majorEastAsia" w:cstheme="majorEastAsia"/>
          <w:sz w:val="28"/>
          <w:szCs w:val="28"/>
        </w:rPr>
        <w:t>启动</w:t>
      </w:r>
      <w:r>
        <w:rPr>
          <w:rFonts w:hint="eastAsia" w:asciiTheme="majorEastAsia" w:hAnsiTheme="majorEastAsia" w:eastAsiaTheme="majorEastAsia" w:cstheme="majorEastAsia"/>
          <w:sz w:val="28"/>
          <w:szCs w:val="28"/>
        </w:rPr>
        <w:t>《蒸汽热能计量技术</w:t>
      </w:r>
      <w:r>
        <w:rPr>
          <w:rFonts w:hint="eastAsia" w:asciiTheme="majorEastAsia" w:hAnsiTheme="majorEastAsia" w:eastAsiaTheme="majorEastAsia" w:cstheme="majorEastAsia"/>
          <w:sz w:val="28"/>
          <w:szCs w:val="28"/>
        </w:rPr>
        <w:t>规范</w:t>
      </w:r>
      <w:r>
        <w:rPr>
          <w:rFonts w:hint="eastAsia" w:asciiTheme="majorEastAsia" w:hAnsiTheme="majorEastAsia" w:eastAsiaTheme="majorEastAsia" w:cstheme="majorEastAsia"/>
          <w:sz w:val="28"/>
          <w:szCs w:val="28"/>
        </w:rPr>
        <w:t>》编制</w:t>
      </w:r>
      <w:r>
        <w:rPr>
          <w:rFonts w:hint="eastAsia" w:asciiTheme="majorEastAsia" w:hAnsiTheme="majorEastAsia" w:eastAsiaTheme="majorEastAsia" w:cstheme="majorEastAsia"/>
          <w:sz w:val="28"/>
          <w:szCs w:val="28"/>
        </w:rPr>
        <w:t>工作，严格按照</w:t>
      </w:r>
      <w:bookmarkStart w:id="2" w:name="_Hlk29396741"/>
      <w:r>
        <w:rPr>
          <w:rFonts w:hint="eastAsia" w:asciiTheme="majorEastAsia" w:hAnsiTheme="majorEastAsia" w:eastAsiaTheme="majorEastAsia" w:cstheme="majorEastAsia"/>
          <w:sz w:val="28"/>
          <w:szCs w:val="28"/>
        </w:rPr>
        <w:t>《国家计量校准规范编写规则》</w:t>
      </w:r>
      <w:bookmarkEnd w:id="2"/>
      <w:r>
        <w:rPr>
          <w:rFonts w:hint="eastAsia" w:asciiTheme="majorEastAsia" w:hAnsiTheme="majorEastAsia" w:eastAsiaTheme="majorEastAsia" w:cstheme="majorEastAsia"/>
          <w:sz w:val="28"/>
          <w:szCs w:val="28"/>
        </w:rPr>
        <w:t>和</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通用计量术语及定义</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《测量不确定度</w:t>
      </w:r>
      <w:r>
        <w:rPr>
          <w:rFonts w:hint="eastAsia" w:asciiTheme="majorEastAsia" w:hAnsiTheme="majorEastAsia" w:eastAsiaTheme="majorEastAsia" w:cstheme="majorEastAsia"/>
          <w:sz w:val="28"/>
          <w:szCs w:val="28"/>
        </w:rPr>
        <w:t>评定与表示</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等文件的要求，开展规范起草工作。建立定期沟通机制</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利用微信群开展高频次沟通交流</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研讨了当前蒸汽热能计量存在的有关问题，</w:t>
      </w:r>
      <w:r>
        <w:rPr>
          <w:rFonts w:hint="eastAsia" w:asciiTheme="majorEastAsia" w:hAnsiTheme="majorEastAsia" w:eastAsiaTheme="majorEastAsia" w:cstheme="majorEastAsia"/>
          <w:sz w:val="28"/>
          <w:szCs w:val="28"/>
        </w:rPr>
        <w:t>明确了起草</w:t>
      </w:r>
      <w:r>
        <w:rPr>
          <w:rFonts w:hint="eastAsia" w:asciiTheme="majorEastAsia" w:hAnsiTheme="majorEastAsia" w:eastAsiaTheme="majorEastAsia" w:cstheme="majorEastAsia"/>
          <w:sz w:val="28"/>
          <w:szCs w:val="28"/>
        </w:rPr>
        <w:t>工作需要解决的具体技术问题，</w:t>
      </w:r>
      <w:r>
        <w:rPr>
          <w:rFonts w:hint="eastAsia" w:asciiTheme="majorEastAsia" w:hAnsiTheme="majorEastAsia" w:eastAsiaTheme="majorEastAsia" w:cstheme="majorEastAsia"/>
          <w:sz w:val="28"/>
          <w:szCs w:val="28"/>
        </w:rPr>
        <w:t>议定</w:t>
      </w:r>
      <w:r>
        <w:rPr>
          <w:rFonts w:hint="eastAsia" w:asciiTheme="majorEastAsia" w:hAnsiTheme="majorEastAsia" w:eastAsiaTheme="majorEastAsia" w:cstheme="majorEastAsia"/>
          <w:sz w:val="28"/>
          <w:szCs w:val="28"/>
        </w:rPr>
        <w:t>了规范的起草思想和起草原则，确定了各参与起草单位和人员的工作分工，完成了《</w:t>
      </w:r>
      <w:r>
        <w:rPr>
          <w:rFonts w:hint="eastAsia" w:asciiTheme="majorEastAsia" w:hAnsiTheme="majorEastAsia" w:eastAsiaTheme="majorEastAsia" w:cstheme="majorEastAsia"/>
          <w:sz w:val="28"/>
          <w:szCs w:val="28"/>
        </w:rPr>
        <w:t>蒸汽热能计量技术</w:t>
      </w:r>
      <w:r>
        <w:rPr>
          <w:rFonts w:hint="eastAsia" w:asciiTheme="majorEastAsia" w:hAnsiTheme="majorEastAsia" w:eastAsiaTheme="majorEastAsia" w:cstheme="majorEastAsia"/>
          <w:sz w:val="28"/>
          <w:szCs w:val="28"/>
        </w:rPr>
        <w:t>规范起草稿》。</w:t>
      </w:r>
    </w:p>
    <w:p>
      <w:pPr>
        <w:keepNext w:val="0"/>
        <w:keepLines w:val="0"/>
        <w:pageBreakBefore w:val="0"/>
        <w:widowControl w:val="0"/>
        <w:kinsoku/>
        <w:wordWrap/>
        <w:overflowPunct/>
        <w:topLinePunct w:val="0"/>
        <w:autoSpaceDE/>
        <w:autoSpaceDN/>
        <w:bidi w:val="0"/>
        <w:adjustRightInd w:val="0"/>
        <w:snapToGrid w:val="0"/>
        <w:spacing w:before="240" w:after="120"/>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（四）2023年2月至2024年</w:t>
      </w:r>
      <w:r>
        <w:rPr>
          <w:rFonts w:hint="eastAsia" w:asciiTheme="majorEastAsia" w:hAnsiTheme="majorEastAsia" w:eastAsiaTheme="majorEastAsia" w:cstheme="majorEastAsia"/>
          <w:sz w:val="28"/>
          <w:szCs w:val="28"/>
        </w:rPr>
        <w:t>3月</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按照技术规范起草小组分工，对《</w:t>
      </w:r>
      <w:r>
        <w:rPr>
          <w:rFonts w:hint="eastAsia" w:asciiTheme="majorEastAsia" w:hAnsiTheme="majorEastAsia" w:eastAsiaTheme="majorEastAsia" w:cstheme="majorEastAsia"/>
          <w:sz w:val="28"/>
          <w:szCs w:val="28"/>
        </w:rPr>
        <w:t>蒸汽热能计量技术</w:t>
      </w:r>
      <w:r>
        <w:rPr>
          <w:rFonts w:hint="eastAsia" w:asciiTheme="majorEastAsia" w:hAnsiTheme="majorEastAsia" w:eastAsiaTheme="majorEastAsia" w:cstheme="majorEastAsia"/>
          <w:sz w:val="28"/>
          <w:szCs w:val="28"/>
        </w:rPr>
        <w:t>规范起草稿》</w:t>
      </w:r>
      <w:r>
        <w:rPr>
          <w:rFonts w:hint="eastAsia" w:asciiTheme="majorEastAsia" w:hAnsiTheme="majorEastAsia" w:eastAsiaTheme="majorEastAsia" w:cstheme="majorEastAsia"/>
          <w:sz w:val="28"/>
          <w:szCs w:val="28"/>
        </w:rPr>
        <w:t>整体</w:t>
      </w:r>
      <w:r>
        <w:rPr>
          <w:rFonts w:hint="eastAsia" w:asciiTheme="majorEastAsia" w:hAnsiTheme="majorEastAsia" w:eastAsiaTheme="majorEastAsia" w:cstheme="majorEastAsia"/>
          <w:sz w:val="28"/>
          <w:szCs w:val="28"/>
        </w:rPr>
        <w:t>内容</w:t>
      </w:r>
      <w:r>
        <w:rPr>
          <w:rFonts w:hint="eastAsia" w:asciiTheme="majorEastAsia" w:hAnsiTheme="majorEastAsia" w:eastAsiaTheme="majorEastAsia" w:cstheme="majorEastAsia"/>
          <w:sz w:val="28"/>
          <w:szCs w:val="28"/>
        </w:rPr>
        <w:t>逐一</w:t>
      </w:r>
      <w:r>
        <w:rPr>
          <w:rFonts w:hint="eastAsia" w:asciiTheme="majorEastAsia" w:hAnsiTheme="majorEastAsia" w:eastAsiaTheme="majorEastAsia" w:cstheme="majorEastAsia"/>
          <w:sz w:val="28"/>
          <w:szCs w:val="28"/>
        </w:rPr>
        <w:t>探讨、进一步修改完善</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2024年3月7日</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召开了起草组视频会议，对需要修改和完善的内容及</w:t>
      </w:r>
      <w:r>
        <w:rPr>
          <w:rFonts w:hint="eastAsia" w:asciiTheme="majorEastAsia" w:hAnsiTheme="majorEastAsia" w:eastAsiaTheme="majorEastAsia" w:cstheme="majorEastAsia"/>
          <w:sz w:val="28"/>
          <w:szCs w:val="28"/>
        </w:rPr>
        <w:t>存在</w:t>
      </w:r>
      <w:r>
        <w:rPr>
          <w:rFonts w:hint="eastAsia" w:asciiTheme="majorEastAsia" w:hAnsiTheme="majorEastAsia" w:eastAsiaTheme="majorEastAsia" w:cstheme="majorEastAsia"/>
          <w:sz w:val="28"/>
          <w:szCs w:val="28"/>
        </w:rPr>
        <w:t>问题进行充分沟通、讨论，形成统一意见，完成了《</w:t>
      </w:r>
      <w:r>
        <w:rPr>
          <w:rFonts w:hint="eastAsia" w:asciiTheme="majorEastAsia" w:hAnsiTheme="majorEastAsia" w:eastAsiaTheme="majorEastAsia" w:cstheme="majorEastAsia"/>
          <w:sz w:val="28"/>
          <w:szCs w:val="28"/>
        </w:rPr>
        <w:t>蒸汽热能计量技术</w:t>
      </w:r>
      <w:r>
        <w:rPr>
          <w:rFonts w:hint="eastAsia" w:asciiTheme="majorEastAsia" w:hAnsiTheme="majorEastAsia" w:eastAsiaTheme="majorEastAsia" w:cstheme="majorEastAsia"/>
          <w:sz w:val="28"/>
          <w:szCs w:val="28"/>
        </w:rPr>
        <w:t>规范</w:t>
      </w:r>
      <w:r>
        <w:rPr>
          <w:rFonts w:hint="eastAsia" w:asciiTheme="majorEastAsia" w:hAnsiTheme="majorEastAsia" w:eastAsiaTheme="majorEastAsia" w:cstheme="majorEastAsia"/>
          <w:sz w:val="28"/>
          <w:szCs w:val="28"/>
        </w:rPr>
        <w:t>初</w:t>
      </w:r>
      <w:r>
        <w:rPr>
          <w:rFonts w:hint="eastAsia" w:asciiTheme="majorEastAsia" w:hAnsiTheme="majorEastAsia" w:eastAsiaTheme="majorEastAsia" w:cstheme="majorEastAsia"/>
          <w:sz w:val="28"/>
          <w:szCs w:val="28"/>
        </w:rPr>
        <w:t>稿》和编制说明。</w:t>
      </w:r>
    </w:p>
    <w:p>
      <w:pPr>
        <w:keepNext w:val="0"/>
        <w:keepLines w:val="0"/>
        <w:pageBreakBefore w:val="0"/>
        <w:widowControl w:val="0"/>
        <w:kinsoku/>
        <w:wordWrap/>
        <w:overflowPunct/>
        <w:topLinePunct w:val="0"/>
        <w:autoSpaceDE/>
        <w:autoSpaceDN/>
        <w:bidi w:val="0"/>
        <w:adjustRightInd w:val="0"/>
        <w:snapToGrid w:val="0"/>
        <w:spacing w:before="240" w:after="120"/>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（五）2024年4月</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技术起草小组在苏州召开会议，讨论并确认修改和完善的内容</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对文字表述和文本格式进行了统一规范，形成征求意见稿和编制说明</w:t>
      </w:r>
      <w:r>
        <w:rPr>
          <w:rFonts w:hint="eastAsia" w:asciiTheme="majorEastAsia" w:hAnsiTheme="majorEastAsia" w:eastAsiaTheme="majorEastAsia" w:cstheme="majorEastAsia"/>
          <w:sz w:val="28"/>
          <w:szCs w:val="28"/>
        </w:rPr>
        <w:t>，完成</w:t>
      </w:r>
      <w:r>
        <w:rPr>
          <w:rFonts w:hint="eastAsia" w:asciiTheme="majorEastAsia" w:hAnsiTheme="majorEastAsia" w:eastAsiaTheme="majorEastAsia" w:cstheme="majorEastAsia"/>
          <w:sz w:val="28"/>
          <w:szCs w:val="28"/>
        </w:rPr>
        <w:t>向全国能源资源计量技术委员会能源计量分技术委员会提报。</w:t>
      </w:r>
    </w:p>
    <w:p>
      <w:pPr>
        <w:keepNext w:val="0"/>
        <w:keepLines w:val="0"/>
        <w:pageBreakBefore w:val="0"/>
        <w:widowControl w:val="0"/>
        <w:kinsoku/>
        <w:wordWrap/>
        <w:overflowPunct/>
        <w:topLinePunct w:val="0"/>
        <w:autoSpaceDE/>
        <w:autoSpaceDN/>
        <w:bidi w:val="0"/>
        <w:adjustRightInd w:val="0"/>
        <w:snapToGrid w:val="0"/>
        <w:spacing w:before="240" w:after="120"/>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（六）2024年</w:t>
      </w: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rPr>
        <w:t>月</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面向社会公开征求意见。</w:t>
      </w:r>
    </w:p>
    <w:p>
      <w:pPr>
        <w:keepNext w:val="0"/>
        <w:keepLines w:val="0"/>
        <w:pageBreakBefore w:val="0"/>
        <w:widowControl w:val="0"/>
        <w:tabs>
          <w:tab w:val="left" w:pos="622"/>
        </w:tabs>
        <w:kinsoku/>
        <w:wordWrap/>
        <w:overflowPunct/>
        <w:topLinePunct w:val="0"/>
        <w:autoSpaceDE/>
        <w:autoSpaceDN/>
        <w:bidi w:val="0"/>
        <w:adjustRightInd w:val="0"/>
        <w:snapToGrid w:val="0"/>
        <w:spacing w:before="360" w:after="120" w:line="240" w:lineRule="auto"/>
        <w:textAlignment w:val="auto"/>
        <w:rPr>
          <w:rFonts w:hint="eastAsia" w:ascii="黑体" w:hAnsi="黑体" w:eastAsia="黑体" w:cs="黑体"/>
          <w:sz w:val="32"/>
          <w:szCs w:val="32"/>
        </w:rPr>
      </w:pPr>
      <w:r>
        <w:rPr>
          <w:rFonts w:hint="eastAsia" w:ascii="黑体" w:hAnsi="黑体" w:eastAsia="黑体" w:cs="黑体"/>
          <w:sz w:val="32"/>
          <w:szCs w:val="32"/>
        </w:rPr>
        <w:t>四、规范制定的主要技术依据</w:t>
      </w:r>
    </w:p>
    <w:p>
      <w:pPr>
        <w:keepNext w:val="0"/>
        <w:keepLines w:val="0"/>
        <w:pageBreakBefore w:val="0"/>
        <w:widowControl w:val="0"/>
        <w:kinsoku/>
        <w:wordWrap/>
        <w:overflowPunct/>
        <w:topLinePunct w:val="0"/>
        <w:autoSpaceDE/>
        <w:autoSpaceDN/>
        <w:bidi w:val="0"/>
        <w:adjustRightInd w:val="0"/>
        <w:snapToGrid w:val="0"/>
        <w:spacing w:before="240" w:after="120"/>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JJF 1001 通用计量术语及定义</w:t>
      </w:r>
    </w:p>
    <w:p>
      <w:pPr>
        <w:keepNext w:val="0"/>
        <w:keepLines w:val="0"/>
        <w:pageBreakBefore w:val="0"/>
        <w:widowControl w:val="0"/>
        <w:kinsoku/>
        <w:wordWrap/>
        <w:overflowPunct/>
        <w:topLinePunct w:val="0"/>
        <w:autoSpaceDE/>
        <w:autoSpaceDN/>
        <w:bidi w:val="0"/>
        <w:adjustRightInd w:val="0"/>
        <w:snapToGrid w:val="0"/>
        <w:spacing w:before="240" w:after="120"/>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JJF 1004 流量计量名词术语及定义</w:t>
      </w:r>
    </w:p>
    <w:p>
      <w:pPr>
        <w:keepNext w:val="0"/>
        <w:keepLines w:val="0"/>
        <w:pageBreakBefore w:val="0"/>
        <w:widowControl w:val="0"/>
        <w:kinsoku/>
        <w:wordWrap/>
        <w:overflowPunct/>
        <w:topLinePunct w:val="0"/>
        <w:autoSpaceDE/>
        <w:autoSpaceDN/>
        <w:bidi w:val="0"/>
        <w:adjustRightInd w:val="0"/>
        <w:snapToGrid w:val="0"/>
        <w:spacing w:before="240" w:after="120"/>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JJF 1071-2010 国家计量校准规范编写规则</w:t>
      </w:r>
    </w:p>
    <w:p>
      <w:pPr>
        <w:keepNext w:val="0"/>
        <w:keepLines w:val="0"/>
        <w:pageBreakBefore w:val="0"/>
        <w:widowControl w:val="0"/>
        <w:kinsoku/>
        <w:wordWrap/>
        <w:overflowPunct/>
        <w:topLinePunct w:val="0"/>
        <w:autoSpaceDE/>
        <w:autoSpaceDN/>
        <w:bidi w:val="0"/>
        <w:adjustRightInd w:val="0"/>
        <w:snapToGrid w:val="0"/>
        <w:spacing w:before="240" w:after="120"/>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GB/T 34060蒸汽热量计算方法</w:t>
      </w:r>
    </w:p>
    <w:p>
      <w:pPr>
        <w:keepNext w:val="0"/>
        <w:keepLines w:val="0"/>
        <w:pageBreakBefore w:val="0"/>
        <w:widowControl w:val="0"/>
        <w:kinsoku/>
        <w:wordWrap/>
        <w:overflowPunct/>
        <w:topLinePunct w:val="0"/>
        <w:autoSpaceDE/>
        <w:autoSpaceDN/>
        <w:bidi w:val="0"/>
        <w:adjustRightInd w:val="0"/>
        <w:snapToGrid w:val="0"/>
        <w:spacing w:before="240" w:after="120"/>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T/CMA NY050-2020 工业蒸汽流量计量技术要求</w:t>
      </w:r>
    </w:p>
    <w:p>
      <w:pPr>
        <w:keepNext w:val="0"/>
        <w:keepLines w:val="0"/>
        <w:pageBreakBefore w:val="0"/>
        <w:widowControl w:val="0"/>
        <w:tabs>
          <w:tab w:val="left" w:pos="622"/>
        </w:tabs>
        <w:kinsoku/>
        <w:wordWrap/>
        <w:overflowPunct/>
        <w:topLinePunct w:val="0"/>
        <w:autoSpaceDE/>
        <w:autoSpaceDN/>
        <w:bidi w:val="0"/>
        <w:adjustRightInd w:val="0"/>
        <w:snapToGrid w:val="0"/>
        <w:spacing w:before="360" w:after="120" w:line="240" w:lineRule="auto"/>
        <w:textAlignment w:val="auto"/>
        <w:rPr>
          <w:rFonts w:hint="eastAsia" w:ascii="黑体" w:hAnsi="黑体" w:eastAsia="黑体" w:cs="黑体"/>
          <w:sz w:val="32"/>
          <w:szCs w:val="32"/>
        </w:rPr>
      </w:pPr>
      <w:r>
        <w:rPr>
          <w:rFonts w:hint="eastAsia" w:ascii="黑体" w:hAnsi="黑体" w:eastAsia="黑体" w:cs="黑体"/>
          <w:sz w:val="32"/>
          <w:szCs w:val="32"/>
        </w:rPr>
        <w:t>五、规范制定要点说明</w:t>
      </w:r>
    </w:p>
    <w:p>
      <w:pPr>
        <w:keepNext w:val="0"/>
        <w:keepLines w:val="0"/>
        <w:pageBreakBefore w:val="0"/>
        <w:widowControl w:val="0"/>
        <w:numPr>
          <w:ilvl w:val="0"/>
          <w:numId w:val="1"/>
        </w:numPr>
        <w:kinsoku/>
        <w:wordWrap/>
        <w:overflowPunct/>
        <w:topLinePunct w:val="0"/>
        <w:autoSpaceDE/>
        <w:autoSpaceDN/>
        <w:bidi w:val="0"/>
        <w:adjustRightInd/>
        <w:snapToGrid/>
        <w:spacing w:after="0"/>
        <w:ind w:left="0" w:leftChars="0"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按《国家计量校准规范编写规则》的要求，确定规范主体结构。</w:t>
      </w:r>
    </w:p>
    <w:p>
      <w:pPr>
        <w:keepNext w:val="0"/>
        <w:keepLines w:val="0"/>
        <w:pageBreakBefore w:val="0"/>
        <w:widowControl w:val="0"/>
        <w:numPr>
          <w:ilvl w:val="0"/>
          <w:numId w:val="1"/>
        </w:numPr>
        <w:kinsoku/>
        <w:wordWrap/>
        <w:overflowPunct/>
        <w:topLinePunct w:val="0"/>
        <w:autoSpaceDE/>
        <w:autoSpaceDN/>
        <w:bidi w:val="0"/>
        <w:adjustRightInd/>
        <w:snapToGrid/>
        <w:spacing w:after="0"/>
        <w:ind w:left="0" w:leftChars="0"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规范了</w:t>
      </w:r>
      <w:r>
        <w:rPr>
          <w:rFonts w:hint="eastAsia" w:asciiTheme="majorEastAsia" w:hAnsiTheme="majorEastAsia" w:eastAsiaTheme="majorEastAsia" w:cstheme="majorEastAsia"/>
          <w:sz w:val="28"/>
          <w:szCs w:val="28"/>
        </w:rPr>
        <w:t>“蒸汽热能”等</w:t>
      </w:r>
      <w:r>
        <w:rPr>
          <w:rFonts w:hint="eastAsia" w:asciiTheme="majorEastAsia" w:hAnsiTheme="majorEastAsia" w:eastAsiaTheme="majorEastAsia" w:cstheme="majorEastAsia"/>
          <w:sz w:val="28"/>
          <w:szCs w:val="28"/>
        </w:rPr>
        <w:t>术语和相关计量单位。</w:t>
      </w:r>
    </w:p>
    <w:p>
      <w:pPr>
        <w:keepNext w:val="0"/>
        <w:keepLines w:val="0"/>
        <w:pageBreakBefore w:val="0"/>
        <w:widowControl w:val="0"/>
        <w:numPr>
          <w:ilvl w:val="0"/>
          <w:numId w:val="1"/>
        </w:numPr>
        <w:kinsoku/>
        <w:wordWrap/>
        <w:overflowPunct/>
        <w:topLinePunct w:val="0"/>
        <w:autoSpaceDE/>
        <w:autoSpaceDN/>
        <w:bidi w:val="0"/>
        <w:adjustRightInd/>
        <w:snapToGrid/>
        <w:spacing w:after="0"/>
        <w:ind w:left="0" w:leftChars="0"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规定了蒸汽热能计量系统组成</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计量特性和计量器具配备技术要求。</w:t>
      </w:r>
    </w:p>
    <w:p>
      <w:pPr>
        <w:keepNext w:val="0"/>
        <w:keepLines w:val="0"/>
        <w:pageBreakBefore w:val="0"/>
        <w:widowControl w:val="0"/>
        <w:numPr>
          <w:ilvl w:val="0"/>
          <w:numId w:val="1"/>
        </w:numPr>
        <w:kinsoku/>
        <w:wordWrap/>
        <w:overflowPunct/>
        <w:topLinePunct w:val="0"/>
        <w:autoSpaceDE/>
        <w:autoSpaceDN/>
        <w:bidi w:val="0"/>
        <w:adjustRightInd/>
        <w:snapToGrid/>
        <w:spacing w:after="0"/>
        <w:ind w:left="0" w:leftChars="0"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规定了蒸汽</w:t>
      </w:r>
      <w:r>
        <w:rPr>
          <w:rFonts w:hint="eastAsia" w:asciiTheme="majorEastAsia" w:hAnsiTheme="majorEastAsia" w:eastAsiaTheme="majorEastAsia" w:cstheme="majorEastAsia"/>
          <w:sz w:val="28"/>
          <w:szCs w:val="28"/>
        </w:rPr>
        <w:t>流量、</w:t>
      </w:r>
      <w:r>
        <w:rPr>
          <w:rFonts w:hint="eastAsia" w:asciiTheme="majorEastAsia" w:hAnsiTheme="majorEastAsia" w:eastAsiaTheme="majorEastAsia" w:cstheme="majorEastAsia"/>
          <w:sz w:val="28"/>
          <w:szCs w:val="28"/>
        </w:rPr>
        <w:t>蒸汽比焓</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t>蒸汽热能等关键物性参数的计量方法。</w:t>
      </w:r>
    </w:p>
    <w:p>
      <w:pPr>
        <w:keepNext w:val="0"/>
        <w:keepLines w:val="0"/>
        <w:pageBreakBefore w:val="0"/>
        <w:widowControl w:val="0"/>
        <w:numPr>
          <w:ilvl w:val="0"/>
          <w:numId w:val="1"/>
        </w:numPr>
        <w:kinsoku/>
        <w:wordWrap/>
        <w:overflowPunct/>
        <w:topLinePunct w:val="0"/>
        <w:autoSpaceDE/>
        <w:autoSpaceDN/>
        <w:bidi w:val="0"/>
        <w:adjustRightInd/>
        <w:snapToGrid/>
        <w:spacing w:after="0"/>
        <w:ind w:left="0" w:leftChars="0"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规定了蒸汽热能计量结果的表达。</w:t>
      </w:r>
    </w:p>
    <w:p>
      <w:pPr>
        <w:spacing w:after="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技术规范起草小组    </w:t>
      </w:r>
    </w:p>
    <w:p>
      <w:pPr>
        <w:wordWrap w:val="0"/>
        <w:spacing w:after="0"/>
        <w:ind w:firstLine="560" w:firstLineChars="200"/>
        <w:jc w:val="righ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28"/>
          <w:szCs w:val="28"/>
        </w:rPr>
        <w:t>2024年4月</w:t>
      </w:r>
      <w:r>
        <w:rPr>
          <w:rFonts w:hint="eastAsia" w:asciiTheme="majorEastAsia" w:hAnsiTheme="majorEastAsia" w:eastAsiaTheme="majorEastAsia" w:cstheme="majorEastAsia"/>
          <w:sz w:val="28"/>
          <w:szCs w:val="28"/>
          <w:lang w:val="en-US" w:eastAsia="zh-CN"/>
        </w:rPr>
        <w:t>30</w:t>
      </w:r>
      <w:bookmarkStart w:id="3" w:name="_GoBack"/>
      <w:bookmarkEnd w:id="3"/>
      <w:r>
        <w:rPr>
          <w:rFonts w:hint="eastAsia" w:asciiTheme="majorEastAsia" w:hAnsiTheme="majorEastAsia" w:eastAsiaTheme="majorEastAsia" w:cstheme="majorEastAsia"/>
          <w:sz w:val="28"/>
          <w:szCs w:val="28"/>
        </w:rPr>
        <w:t xml:space="preserve">日   </w:t>
      </w:r>
      <w:r>
        <w:rPr>
          <w:rFonts w:hint="eastAsia" w:asciiTheme="majorEastAsia" w:hAnsiTheme="majorEastAsia" w:eastAsiaTheme="majorEastAsia" w:cstheme="majorEastAsia"/>
          <w:sz w:val="32"/>
          <w:szCs w:val="32"/>
        </w:rPr>
        <w:t xml:space="preserve"> </w:t>
      </w:r>
    </w:p>
    <w:sectPr>
      <w:pgSz w:w="11906" w:h="16838"/>
      <w:pgMar w:top="1440" w:right="1800" w:bottom="1440" w:left="1800" w:header="851" w:footer="992" w:gutter="0"/>
      <w:pgNumType w:start="1"/>
      <w:cols w:space="425" w:num="1"/>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r>
      <w:fldChar w:fldCharType="begin"/>
    </w:r>
    <w:r>
      <w:instrText xml:space="preserve"> PAGE   \* MERGEFORMAT </w:instrText>
    </w:r>
    <w:r>
      <w:fldChar w:fldCharType="separate"/>
    </w:r>
    <w:r>
      <w:rPr>
        <w:lang w:val="zh-CN"/>
      </w:rPr>
      <w:t>3</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5</w:t>
    </w:r>
    <w:r>
      <w:rPr>
        <w:rStyle w:val="16"/>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E0E08"/>
    <w:multiLevelType w:val="singleLevel"/>
    <w:tmpl w:val="6FDE0E0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639"/>
  <w:displayHorizontalDrawingGridEvery w:val="2"/>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ZGVlM2ZmY2JiYmE3ZjJiYWNhNzI1YzBhYjhlZWMifQ=="/>
  </w:docVars>
  <w:rsids>
    <w:rsidRoot w:val="003E7D71"/>
    <w:rsid w:val="00000EDF"/>
    <w:rsid w:val="000162CE"/>
    <w:rsid w:val="00021B5D"/>
    <w:rsid w:val="000233DD"/>
    <w:rsid w:val="000331F5"/>
    <w:rsid w:val="000333B2"/>
    <w:rsid w:val="00046CAC"/>
    <w:rsid w:val="0005676B"/>
    <w:rsid w:val="00064875"/>
    <w:rsid w:val="00077967"/>
    <w:rsid w:val="000B7586"/>
    <w:rsid w:val="000C5A9C"/>
    <w:rsid w:val="000E1EEE"/>
    <w:rsid w:val="000E3BD3"/>
    <w:rsid w:val="000E4DFB"/>
    <w:rsid w:val="000E5A0A"/>
    <w:rsid w:val="000F0900"/>
    <w:rsid w:val="000F31C7"/>
    <w:rsid w:val="00116548"/>
    <w:rsid w:val="00127671"/>
    <w:rsid w:val="001333D1"/>
    <w:rsid w:val="0013604E"/>
    <w:rsid w:val="001415B6"/>
    <w:rsid w:val="001430C5"/>
    <w:rsid w:val="00146CC0"/>
    <w:rsid w:val="00161DD9"/>
    <w:rsid w:val="001661E9"/>
    <w:rsid w:val="00167864"/>
    <w:rsid w:val="00180B6B"/>
    <w:rsid w:val="001B7CD4"/>
    <w:rsid w:val="001C1147"/>
    <w:rsid w:val="001C2881"/>
    <w:rsid w:val="001D6386"/>
    <w:rsid w:val="001D66B5"/>
    <w:rsid w:val="001E0FB2"/>
    <w:rsid w:val="001E30EC"/>
    <w:rsid w:val="001F74F3"/>
    <w:rsid w:val="002016B8"/>
    <w:rsid w:val="002102E4"/>
    <w:rsid w:val="00227890"/>
    <w:rsid w:val="00245359"/>
    <w:rsid w:val="002543D7"/>
    <w:rsid w:val="00256704"/>
    <w:rsid w:val="00264428"/>
    <w:rsid w:val="00266D24"/>
    <w:rsid w:val="002702D6"/>
    <w:rsid w:val="00270572"/>
    <w:rsid w:val="00271E5A"/>
    <w:rsid w:val="00274DB5"/>
    <w:rsid w:val="00290D67"/>
    <w:rsid w:val="002B23BF"/>
    <w:rsid w:val="002B2EEC"/>
    <w:rsid w:val="002B62A5"/>
    <w:rsid w:val="002C0594"/>
    <w:rsid w:val="002D4816"/>
    <w:rsid w:val="002D6B27"/>
    <w:rsid w:val="002D6E6B"/>
    <w:rsid w:val="002E4098"/>
    <w:rsid w:val="002E4B9D"/>
    <w:rsid w:val="002F4312"/>
    <w:rsid w:val="00302243"/>
    <w:rsid w:val="003041F6"/>
    <w:rsid w:val="003047F0"/>
    <w:rsid w:val="00311F23"/>
    <w:rsid w:val="00320E72"/>
    <w:rsid w:val="00321DD0"/>
    <w:rsid w:val="00340ED3"/>
    <w:rsid w:val="00341546"/>
    <w:rsid w:val="00341F80"/>
    <w:rsid w:val="00346FAA"/>
    <w:rsid w:val="003617C7"/>
    <w:rsid w:val="00362E62"/>
    <w:rsid w:val="0037089D"/>
    <w:rsid w:val="003734A9"/>
    <w:rsid w:val="0037439D"/>
    <w:rsid w:val="00374404"/>
    <w:rsid w:val="00375392"/>
    <w:rsid w:val="0038642D"/>
    <w:rsid w:val="00392F06"/>
    <w:rsid w:val="00396A5C"/>
    <w:rsid w:val="003A163B"/>
    <w:rsid w:val="003A2C63"/>
    <w:rsid w:val="003A39EE"/>
    <w:rsid w:val="003A4B69"/>
    <w:rsid w:val="003A5C27"/>
    <w:rsid w:val="003A6272"/>
    <w:rsid w:val="003B2147"/>
    <w:rsid w:val="003C1555"/>
    <w:rsid w:val="003C66E8"/>
    <w:rsid w:val="003D0B14"/>
    <w:rsid w:val="003D2763"/>
    <w:rsid w:val="003E7D71"/>
    <w:rsid w:val="003F0931"/>
    <w:rsid w:val="003F0BC9"/>
    <w:rsid w:val="003F128B"/>
    <w:rsid w:val="003F2860"/>
    <w:rsid w:val="004052E4"/>
    <w:rsid w:val="00406862"/>
    <w:rsid w:val="00430167"/>
    <w:rsid w:val="004328C5"/>
    <w:rsid w:val="0043335E"/>
    <w:rsid w:val="00434C0C"/>
    <w:rsid w:val="00446346"/>
    <w:rsid w:val="004509B7"/>
    <w:rsid w:val="00450F88"/>
    <w:rsid w:val="00453EED"/>
    <w:rsid w:val="004668D6"/>
    <w:rsid w:val="00473DF2"/>
    <w:rsid w:val="004822DC"/>
    <w:rsid w:val="004845C4"/>
    <w:rsid w:val="004916CA"/>
    <w:rsid w:val="0049302E"/>
    <w:rsid w:val="004A0728"/>
    <w:rsid w:val="004A3326"/>
    <w:rsid w:val="004A39DB"/>
    <w:rsid w:val="004A7833"/>
    <w:rsid w:val="004B296F"/>
    <w:rsid w:val="004D57F5"/>
    <w:rsid w:val="004F46FC"/>
    <w:rsid w:val="004F623D"/>
    <w:rsid w:val="0050524F"/>
    <w:rsid w:val="005059EF"/>
    <w:rsid w:val="00514678"/>
    <w:rsid w:val="005253B7"/>
    <w:rsid w:val="00525568"/>
    <w:rsid w:val="0053700C"/>
    <w:rsid w:val="0053753F"/>
    <w:rsid w:val="0054529A"/>
    <w:rsid w:val="00552180"/>
    <w:rsid w:val="0056457D"/>
    <w:rsid w:val="00567B78"/>
    <w:rsid w:val="00577756"/>
    <w:rsid w:val="00587841"/>
    <w:rsid w:val="005B013A"/>
    <w:rsid w:val="005B7257"/>
    <w:rsid w:val="005D12C2"/>
    <w:rsid w:val="005E0A3E"/>
    <w:rsid w:val="005E6AE8"/>
    <w:rsid w:val="005F03C5"/>
    <w:rsid w:val="005F223D"/>
    <w:rsid w:val="00601060"/>
    <w:rsid w:val="006044DF"/>
    <w:rsid w:val="00607333"/>
    <w:rsid w:val="0061389D"/>
    <w:rsid w:val="006143D7"/>
    <w:rsid w:val="006277B6"/>
    <w:rsid w:val="00650C14"/>
    <w:rsid w:val="0066425C"/>
    <w:rsid w:val="00666F40"/>
    <w:rsid w:val="006819F8"/>
    <w:rsid w:val="00684D26"/>
    <w:rsid w:val="00697A4D"/>
    <w:rsid w:val="006A6AB2"/>
    <w:rsid w:val="006B1F9C"/>
    <w:rsid w:val="006B50C8"/>
    <w:rsid w:val="006B6A2B"/>
    <w:rsid w:val="006B7685"/>
    <w:rsid w:val="006C325D"/>
    <w:rsid w:val="006C49D6"/>
    <w:rsid w:val="006D0AF2"/>
    <w:rsid w:val="006D55DC"/>
    <w:rsid w:val="006E2EB8"/>
    <w:rsid w:val="006E5186"/>
    <w:rsid w:val="006F00FC"/>
    <w:rsid w:val="006F0677"/>
    <w:rsid w:val="006F0D69"/>
    <w:rsid w:val="006F10C6"/>
    <w:rsid w:val="00700EB5"/>
    <w:rsid w:val="00705446"/>
    <w:rsid w:val="00710EAF"/>
    <w:rsid w:val="0071221E"/>
    <w:rsid w:val="007257CC"/>
    <w:rsid w:val="00726252"/>
    <w:rsid w:val="00726A23"/>
    <w:rsid w:val="0073221D"/>
    <w:rsid w:val="0073567D"/>
    <w:rsid w:val="007408A2"/>
    <w:rsid w:val="00743A85"/>
    <w:rsid w:val="0074573E"/>
    <w:rsid w:val="00745F6C"/>
    <w:rsid w:val="00756682"/>
    <w:rsid w:val="00760210"/>
    <w:rsid w:val="00771E81"/>
    <w:rsid w:val="00772637"/>
    <w:rsid w:val="0077447A"/>
    <w:rsid w:val="007772F2"/>
    <w:rsid w:val="00781D19"/>
    <w:rsid w:val="00782B47"/>
    <w:rsid w:val="007A2424"/>
    <w:rsid w:val="007A5C5C"/>
    <w:rsid w:val="007B1B54"/>
    <w:rsid w:val="007B4FD2"/>
    <w:rsid w:val="007C007D"/>
    <w:rsid w:val="007C2252"/>
    <w:rsid w:val="007C781B"/>
    <w:rsid w:val="007F1006"/>
    <w:rsid w:val="008047B1"/>
    <w:rsid w:val="00806125"/>
    <w:rsid w:val="00813A20"/>
    <w:rsid w:val="00820F24"/>
    <w:rsid w:val="00822C59"/>
    <w:rsid w:val="00826E7E"/>
    <w:rsid w:val="00831D85"/>
    <w:rsid w:val="008320BA"/>
    <w:rsid w:val="0083378E"/>
    <w:rsid w:val="00837524"/>
    <w:rsid w:val="008410CD"/>
    <w:rsid w:val="00842661"/>
    <w:rsid w:val="00843CE1"/>
    <w:rsid w:val="008547AC"/>
    <w:rsid w:val="00866B09"/>
    <w:rsid w:val="0087177E"/>
    <w:rsid w:val="00873F5E"/>
    <w:rsid w:val="008857CD"/>
    <w:rsid w:val="008868AB"/>
    <w:rsid w:val="00886D2A"/>
    <w:rsid w:val="00891A82"/>
    <w:rsid w:val="008A2202"/>
    <w:rsid w:val="008A4AE4"/>
    <w:rsid w:val="008B432B"/>
    <w:rsid w:val="008B6BFB"/>
    <w:rsid w:val="008B6ECA"/>
    <w:rsid w:val="008D3880"/>
    <w:rsid w:val="008D6BAD"/>
    <w:rsid w:val="008D6FC7"/>
    <w:rsid w:val="008E0CD5"/>
    <w:rsid w:val="008E4E4E"/>
    <w:rsid w:val="008E540C"/>
    <w:rsid w:val="008F3B17"/>
    <w:rsid w:val="009077D9"/>
    <w:rsid w:val="00927560"/>
    <w:rsid w:val="00927EE2"/>
    <w:rsid w:val="009316FC"/>
    <w:rsid w:val="0093496E"/>
    <w:rsid w:val="00943FCF"/>
    <w:rsid w:val="0096126A"/>
    <w:rsid w:val="009672EA"/>
    <w:rsid w:val="00974E6E"/>
    <w:rsid w:val="00975C90"/>
    <w:rsid w:val="009762AD"/>
    <w:rsid w:val="0098018E"/>
    <w:rsid w:val="009804CA"/>
    <w:rsid w:val="00982D4E"/>
    <w:rsid w:val="009B15D2"/>
    <w:rsid w:val="009C22A6"/>
    <w:rsid w:val="009C5BE3"/>
    <w:rsid w:val="009C618D"/>
    <w:rsid w:val="009C668E"/>
    <w:rsid w:val="009C7EC3"/>
    <w:rsid w:val="009D17B6"/>
    <w:rsid w:val="009E08EA"/>
    <w:rsid w:val="009E3354"/>
    <w:rsid w:val="009E7556"/>
    <w:rsid w:val="00A14AFA"/>
    <w:rsid w:val="00A15A6A"/>
    <w:rsid w:val="00A17EBB"/>
    <w:rsid w:val="00A2122E"/>
    <w:rsid w:val="00A22D8D"/>
    <w:rsid w:val="00A2348F"/>
    <w:rsid w:val="00A40981"/>
    <w:rsid w:val="00A46E63"/>
    <w:rsid w:val="00A502ED"/>
    <w:rsid w:val="00A570F3"/>
    <w:rsid w:val="00A579CE"/>
    <w:rsid w:val="00A64E8F"/>
    <w:rsid w:val="00A6508B"/>
    <w:rsid w:val="00A66C1E"/>
    <w:rsid w:val="00A67BBB"/>
    <w:rsid w:val="00A71C73"/>
    <w:rsid w:val="00A7314E"/>
    <w:rsid w:val="00A75277"/>
    <w:rsid w:val="00A765E7"/>
    <w:rsid w:val="00A868B4"/>
    <w:rsid w:val="00A87B40"/>
    <w:rsid w:val="00A90B59"/>
    <w:rsid w:val="00A91D80"/>
    <w:rsid w:val="00A963BC"/>
    <w:rsid w:val="00AA0AFF"/>
    <w:rsid w:val="00AA3699"/>
    <w:rsid w:val="00AA4C30"/>
    <w:rsid w:val="00AA7C66"/>
    <w:rsid w:val="00AB38E0"/>
    <w:rsid w:val="00AB7F0D"/>
    <w:rsid w:val="00AC72D0"/>
    <w:rsid w:val="00AD3D69"/>
    <w:rsid w:val="00AE0451"/>
    <w:rsid w:val="00AE6342"/>
    <w:rsid w:val="00B00C8D"/>
    <w:rsid w:val="00B065DB"/>
    <w:rsid w:val="00B11C23"/>
    <w:rsid w:val="00B14BBD"/>
    <w:rsid w:val="00B24DB9"/>
    <w:rsid w:val="00B361FE"/>
    <w:rsid w:val="00B420C2"/>
    <w:rsid w:val="00B6110F"/>
    <w:rsid w:val="00B6521C"/>
    <w:rsid w:val="00B82800"/>
    <w:rsid w:val="00B94AF5"/>
    <w:rsid w:val="00B954F2"/>
    <w:rsid w:val="00B96456"/>
    <w:rsid w:val="00BA42A7"/>
    <w:rsid w:val="00BA4E77"/>
    <w:rsid w:val="00BB18C8"/>
    <w:rsid w:val="00BB1D59"/>
    <w:rsid w:val="00BB6C3A"/>
    <w:rsid w:val="00BC0C92"/>
    <w:rsid w:val="00BC2AC2"/>
    <w:rsid w:val="00BC2AEE"/>
    <w:rsid w:val="00BC6009"/>
    <w:rsid w:val="00BC7760"/>
    <w:rsid w:val="00BD10FE"/>
    <w:rsid w:val="00BF35EB"/>
    <w:rsid w:val="00C0241B"/>
    <w:rsid w:val="00C045BD"/>
    <w:rsid w:val="00C04AA8"/>
    <w:rsid w:val="00C05FE4"/>
    <w:rsid w:val="00C063FC"/>
    <w:rsid w:val="00C146D4"/>
    <w:rsid w:val="00C23C14"/>
    <w:rsid w:val="00C315B6"/>
    <w:rsid w:val="00CB3744"/>
    <w:rsid w:val="00CB391E"/>
    <w:rsid w:val="00CC13BA"/>
    <w:rsid w:val="00CC1A3A"/>
    <w:rsid w:val="00CC4C54"/>
    <w:rsid w:val="00CC7C8F"/>
    <w:rsid w:val="00CD030F"/>
    <w:rsid w:val="00CD192D"/>
    <w:rsid w:val="00CF19B5"/>
    <w:rsid w:val="00D03D6A"/>
    <w:rsid w:val="00D137C0"/>
    <w:rsid w:val="00D14139"/>
    <w:rsid w:val="00D165D1"/>
    <w:rsid w:val="00D2299D"/>
    <w:rsid w:val="00D22EF2"/>
    <w:rsid w:val="00D24F3E"/>
    <w:rsid w:val="00D27656"/>
    <w:rsid w:val="00D2786D"/>
    <w:rsid w:val="00D27C00"/>
    <w:rsid w:val="00D3017D"/>
    <w:rsid w:val="00D31CEC"/>
    <w:rsid w:val="00D374DF"/>
    <w:rsid w:val="00D4152D"/>
    <w:rsid w:val="00D535DA"/>
    <w:rsid w:val="00D6445A"/>
    <w:rsid w:val="00D7135B"/>
    <w:rsid w:val="00D73F65"/>
    <w:rsid w:val="00D832B3"/>
    <w:rsid w:val="00D906C9"/>
    <w:rsid w:val="00D95F4B"/>
    <w:rsid w:val="00DB0F54"/>
    <w:rsid w:val="00DB3578"/>
    <w:rsid w:val="00DB3F60"/>
    <w:rsid w:val="00DC0721"/>
    <w:rsid w:val="00DC1EB6"/>
    <w:rsid w:val="00DC2362"/>
    <w:rsid w:val="00DD2A99"/>
    <w:rsid w:val="00DE3311"/>
    <w:rsid w:val="00DE7E4A"/>
    <w:rsid w:val="00DF0392"/>
    <w:rsid w:val="00E07E86"/>
    <w:rsid w:val="00E10021"/>
    <w:rsid w:val="00E13BF4"/>
    <w:rsid w:val="00E15371"/>
    <w:rsid w:val="00E20856"/>
    <w:rsid w:val="00E27AB2"/>
    <w:rsid w:val="00E33B88"/>
    <w:rsid w:val="00E34AAB"/>
    <w:rsid w:val="00E37E7F"/>
    <w:rsid w:val="00E40140"/>
    <w:rsid w:val="00E46472"/>
    <w:rsid w:val="00E47258"/>
    <w:rsid w:val="00E47F3D"/>
    <w:rsid w:val="00E50354"/>
    <w:rsid w:val="00E74C2B"/>
    <w:rsid w:val="00E82D33"/>
    <w:rsid w:val="00E8673B"/>
    <w:rsid w:val="00E87AE4"/>
    <w:rsid w:val="00E925A9"/>
    <w:rsid w:val="00EA0994"/>
    <w:rsid w:val="00EA48BC"/>
    <w:rsid w:val="00EA558F"/>
    <w:rsid w:val="00EB06AC"/>
    <w:rsid w:val="00EB3812"/>
    <w:rsid w:val="00EB6603"/>
    <w:rsid w:val="00ED15BC"/>
    <w:rsid w:val="00ED2DC6"/>
    <w:rsid w:val="00ED4618"/>
    <w:rsid w:val="00EE2FC4"/>
    <w:rsid w:val="00EE3A46"/>
    <w:rsid w:val="00EE66BD"/>
    <w:rsid w:val="00EE696F"/>
    <w:rsid w:val="00EE6D8C"/>
    <w:rsid w:val="00EE79A9"/>
    <w:rsid w:val="00EF01C9"/>
    <w:rsid w:val="00EF125F"/>
    <w:rsid w:val="00EF45E9"/>
    <w:rsid w:val="00F10522"/>
    <w:rsid w:val="00F132A3"/>
    <w:rsid w:val="00F16656"/>
    <w:rsid w:val="00F2226A"/>
    <w:rsid w:val="00F30ECE"/>
    <w:rsid w:val="00F31045"/>
    <w:rsid w:val="00F40275"/>
    <w:rsid w:val="00F41A83"/>
    <w:rsid w:val="00F427DC"/>
    <w:rsid w:val="00F501E6"/>
    <w:rsid w:val="00F507D5"/>
    <w:rsid w:val="00F54DBE"/>
    <w:rsid w:val="00F557EC"/>
    <w:rsid w:val="00F70794"/>
    <w:rsid w:val="00F707CE"/>
    <w:rsid w:val="00F71E1B"/>
    <w:rsid w:val="00F724A4"/>
    <w:rsid w:val="00F76C82"/>
    <w:rsid w:val="00F778A5"/>
    <w:rsid w:val="00F83CA5"/>
    <w:rsid w:val="00F841C5"/>
    <w:rsid w:val="00FA5412"/>
    <w:rsid w:val="00FE18B0"/>
    <w:rsid w:val="00FE79C3"/>
    <w:rsid w:val="12B50DE4"/>
    <w:rsid w:val="14446DAC"/>
    <w:rsid w:val="192C0DA3"/>
    <w:rsid w:val="263C4B00"/>
    <w:rsid w:val="2AAD51BF"/>
    <w:rsid w:val="2B604058"/>
    <w:rsid w:val="337E12F3"/>
    <w:rsid w:val="37E90FFF"/>
    <w:rsid w:val="3CC90B21"/>
    <w:rsid w:val="437E6854"/>
    <w:rsid w:val="495B2217"/>
    <w:rsid w:val="4AE225F7"/>
    <w:rsid w:val="4EDB4D1A"/>
    <w:rsid w:val="50022E13"/>
    <w:rsid w:val="5A0E490C"/>
    <w:rsid w:val="6097667D"/>
    <w:rsid w:val="62C26D79"/>
    <w:rsid w:val="6685232B"/>
    <w:rsid w:val="68DC06B2"/>
    <w:rsid w:val="6F884AB2"/>
    <w:rsid w:val="72231A6D"/>
    <w:rsid w:val="73193515"/>
    <w:rsid w:val="77174613"/>
    <w:rsid w:val="786246F6"/>
    <w:rsid w:val="7B68759F"/>
    <w:rsid w:val="7D8F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8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ind w:left="-178" w:leftChars="-85" w:firstLine="7073" w:firstLineChars="842"/>
      <w:outlineLvl w:val="0"/>
    </w:pPr>
    <w:rPr>
      <w:sz w:val="84"/>
    </w:rPr>
  </w:style>
  <w:style w:type="paragraph" w:styleId="3">
    <w:name w:val="heading 2"/>
    <w:basedOn w:val="1"/>
    <w:next w:val="1"/>
    <w:qFormat/>
    <w:uiPriority w:val="0"/>
    <w:pPr>
      <w:keepNext/>
      <w:ind w:firstLine="7560" w:firstLineChars="900"/>
      <w:outlineLvl w:val="1"/>
    </w:pPr>
    <w:rPr>
      <w:rFonts w:ascii="黑体" w:hAnsi="MS Gothic" w:eastAsia="黑体"/>
      <w:sz w:val="84"/>
    </w:rPr>
  </w:style>
  <w:style w:type="paragraph" w:styleId="4">
    <w:name w:val="heading 3"/>
    <w:basedOn w:val="1"/>
    <w:next w:val="1"/>
    <w:qFormat/>
    <w:uiPriority w:val="0"/>
    <w:pPr>
      <w:keepNext/>
      <w:outlineLvl w:val="2"/>
    </w:pPr>
    <w:rPr>
      <w:rFonts w:ascii="黑体" w:eastAsia="黑体"/>
      <w:b/>
      <w:bCs/>
      <w:sz w:val="36"/>
      <w:u w:val="single"/>
    </w:rPr>
  </w:style>
  <w:style w:type="paragraph" w:styleId="5">
    <w:name w:val="heading 4"/>
    <w:basedOn w:val="1"/>
    <w:next w:val="1"/>
    <w:qFormat/>
    <w:uiPriority w:val="0"/>
    <w:pPr>
      <w:keepNext/>
      <w:framePr w:w="3420" w:h="1860" w:hSpace="180" w:wrap="around" w:vAnchor="text" w:hAnchor="page" w:x="7107" w:y="321"/>
      <w:ind w:firstLine="280" w:firstLineChars="100"/>
      <w:outlineLvl w:val="3"/>
    </w:pPr>
    <w:rPr>
      <w:rFonts w:eastAsia="黑体"/>
      <w:sz w:val="28"/>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caption"/>
    <w:basedOn w:val="1"/>
    <w:next w:val="1"/>
    <w:semiHidden/>
    <w:unhideWhenUsed/>
    <w:qFormat/>
    <w:uiPriority w:val="0"/>
    <w:rPr>
      <w:rFonts w:ascii="Arial" w:hAnsi="Arial" w:eastAsia="黑体"/>
      <w:sz w:val="20"/>
    </w:rPr>
  </w:style>
  <w:style w:type="paragraph" w:styleId="7">
    <w:name w:val="Body Text"/>
    <w:basedOn w:val="1"/>
    <w:link w:val="21"/>
    <w:qFormat/>
    <w:uiPriority w:val="0"/>
    <w:pPr>
      <w:spacing w:after="120"/>
    </w:pPr>
  </w:style>
  <w:style w:type="paragraph" w:styleId="8">
    <w:name w:val="Body Text Indent"/>
    <w:basedOn w:val="1"/>
    <w:qFormat/>
    <w:uiPriority w:val="0"/>
    <w:pPr>
      <w:ind w:firstLine="480" w:firstLineChars="200"/>
    </w:pPr>
    <w:rPr>
      <w:rFonts w:ascii="黑体" w:eastAsia="黑体"/>
      <w:sz w:val="24"/>
    </w:rPr>
  </w:style>
  <w:style w:type="paragraph" w:styleId="9">
    <w:name w:val="Date"/>
    <w:basedOn w:val="1"/>
    <w:next w:val="1"/>
    <w:qFormat/>
    <w:uiPriority w:val="0"/>
    <w:pPr>
      <w:ind w:left="100" w:leftChars="2500"/>
    </w:pPr>
    <w:rPr>
      <w:rFonts w:ascii="黑体" w:eastAsia="黑体"/>
      <w:sz w:val="24"/>
    </w:rPr>
  </w:style>
  <w:style w:type="paragraph" w:styleId="10">
    <w:name w:val="Body Text Indent 2"/>
    <w:basedOn w:val="1"/>
    <w:link w:val="25"/>
    <w:qFormat/>
    <w:uiPriority w:val="0"/>
    <w:pPr>
      <w:spacing w:after="120" w:line="480" w:lineRule="auto"/>
      <w:ind w:left="420" w:leftChars="200"/>
    </w:pPr>
  </w:style>
  <w:style w:type="paragraph" w:styleId="11">
    <w:name w:val="footer"/>
    <w:basedOn w:val="1"/>
    <w:link w:val="20"/>
    <w:qFormat/>
    <w:uiPriority w:val="99"/>
    <w:pPr>
      <w:tabs>
        <w:tab w:val="center" w:pos="4153"/>
        <w:tab w:val="right" w:pos="8306"/>
      </w:tabs>
      <w:snapToGrid w:val="0"/>
      <w:jc w:val="left"/>
    </w:pPr>
    <w:rPr>
      <w:sz w:val="18"/>
      <w:szCs w:val="18"/>
    </w:rPr>
  </w:style>
  <w:style w:type="paragraph" w:styleId="12">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0"/>
    <w:pPr>
      <w:spacing w:beforeAutospacing="1" w:after="0" w:afterAutospacing="1"/>
      <w:jc w:val="left"/>
    </w:pPr>
    <w:rPr>
      <w:kern w:val="0"/>
      <w:sz w:val="24"/>
    </w:rPr>
  </w:style>
  <w:style w:type="character" w:styleId="16">
    <w:name w:val="page number"/>
    <w:basedOn w:val="15"/>
    <w:qFormat/>
    <w:uiPriority w:val="0"/>
  </w:style>
  <w:style w:type="character" w:styleId="17">
    <w:name w:val="Emphasis"/>
    <w:basedOn w:val="15"/>
    <w:qFormat/>
    <w:uiPriority w:val="0"/>
    <w:rPr>
      <w:i/>
    </w:rPr>
  </w:style>
  <w:style w:type="character" w:styleId="18">
    <w:name w:val="line number"/>
    <w:basedOn w:val="15"/>
    <w:qFormat/>
    <w:uiPriority w:val="0"/>
  </w:style>
  <w:style w:type="character" w:customStyle="1" w:styleId="19">
    <w:name w:val="页眉 Char"/>
    <w:link w:val="12"/>
    <w:qFormat/>
    <w:uiPriority w:val="0"/>
    <w:rPr>
      <w:kern w:val="2"/>
      <w:sz w:val="18"/>
      <w:szCs w:val="18"/>
    </w:rPr>
  </w:style>
  <w:style w:type="character" w:customStyle="1" w:styleId="20">
    <w:name w:val="页脚 Char"/>
    <w:link w:val="11"/>
    <w:qFormat/>
    <w:uiPriority w:val="99"/>
    <w:rPr>
      <w:kern w:val="2"/>
      <w:sz w:val="18"/>
      <w:szCs w:val="18"/>
    </w:rPr>
  </w:style>
  <w:style w:type="character" w:customStyle="1" w:styleId="21">
    <w:name w:val="正文文本 Char"/>
    <w:link w:val="7"/>
    <w:qFormat/>
    <w:uiPriority w:val="0"/>
    <w:rPr>
      <w:kern w:val="2"/>
      <w:sz w:val="21"/>
      <w:szCs w:val="24"/>
    </w:rPr>
  </w:style>
  <w:style w:type="paragraph" w:customStyle="1" w:styleId="22">
    <w:name w:val="Char Char"/>
    <w:basedOn w:val="1"/>
    <w:qFormat/>
    <w:uiPriority w:val="0"/>
    <w:pPr>
      <w:widowControl/>
      <w:spacing w:after="160" w:line="240" w:lineRule="exact"/>
      <w:jc w:val="left"/>
    </w:pPr>
    <w:rPr>
      <w:rFonts w:ascii="Verdana" w:hAnsi="Verdana"/>
      <w:kern w:val="0"/>
      <w:sz w:val="20"/>
      <w:szCs w:val="20"/>
      <w:lang w:eastAsia="en-US"/>
    </w:rPr>
  </w:style>
  <w:style w:type="paragraph" w:styleId="23">
    <w:name w:val="List Paragraph"/>
    <w:basedOn w:val="1"/>
    <w:qFormat/>
    <w:uiPriority w:val="99"/>
    <w:pPr>
      <w:ind w:firstLine="420" w:firstLineChars="200"/>
    </w:pPr>
  </w:style>
  <w:style w:type="paragraph" w:customStyle="1" w:styleId="24">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character" w:customStyle="1" w:styleId="25">
    <w:name w:val="正文文本缩进 2 Char"/>
    <w:basedOn w:val="15"/>
    <w:link w:val="10"/>
    <w:qFormat/>
    <w:uiPriority w:val="0"/>
    <w:rPr>
      <w:kern w:val="2"/>
      <w:sz w:val="21"/>
      <w:szCs w:val="24"/>
    </w:rPr>
  </w:style>
  <w:style w:type="paragraph" w:customStyle="1" w:styleId="26">
    <w:name w:val="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
    <w:name w:val="段"/>
    <w:link w:val="29"/>
    <w:qFormat/>
    <w:uiPriority w:val="0"/>
    <w:pPr>
      <w:autoSpaceDE w:val="0"/>
      <w:autoSpaceDN w:val="0"/>
      <w:spacing w:after="80"/>
      <w:ind w:firstLine="200" w:firstLineChars="200"/>
      <w:jc w:val="both"/>
    </w:pPr>
    <w:rPr>
      <w:rFonts w:ascii="宋体" w:hAnsi="Times New Roman" w:eastAsia="宋体" w:cs="Times New Roman"/>
      <w:sz w:val="21"/>
      <w:lang w:val="en-US" w:eastAsia="zh-CN" w:bidi="ar-SA"/>
    </w:rPr>
  </w:style>
  <w:style w:type="paragraph" w:customStyle="1" w:styleId="28">
    <w:name w:val="样式 一般正文 + 首行缩进:  2 字符"/>
    <w:basedOn w:val="1"/>
    <w:qFormat/>
    <w:uiPriority w:val="0"/>
    <w:pPr>
      <w:spacing w:line="360" w:lineRule="auto"/>
      <w:ind w:firstLine="480" w:firstLineChars="200"/>
    </w:pPr>
    <w:rPr>
      <w:rFonts w:cs="宋体"/>
      <w:sz w:val="24"/>
      <w:szCs w:val="20"/>
    </w:rPr>
  </w:style>
  <w:style w:type="character" w:customStyle="1" w:styleId="29">
    <w:name w:val="段 Char"/>
    <w:link w:val="27"/>
    <w:qFormat/>
    <w:uiPriority w:val="0"/>
    <w:rPr>
      <w:rFonts w:ascii="宋体"/>
      <w:sz w:val="21"/>
    </w:rPr>
  </w:style>
  <w:style w:type="paragraph" w:customStyle="1" w:styleId="30">
    <w:name w:val="MT正文"/>
    <w:basedOn w:val="1"/>
    <w:qFormat/>
    <w:uiPriority w:val="0"/>
    <w:pPr>
      <w:spacing w:line="360" w:lineRule="auto"/>
      <w:ind w:firstLine="168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D17AC-6CF2-41CC-A586-ED394A27E745}">
  <ds:schemaRefs/>
</ds:datastoreItem>
</file>

<file path=docProps/app.xml><?xml version="1.0" encoding="utf-8"?>
<Properties xmlns="http://schemas.openxmlformats.org/officeDocument/2006/extended-properties" xmlns:vt="http://schemas.openxmlformats.org/officeDocument/2006/docPropsVTypes">
  <Template>Normal.dotm</Template>
  <Company>SIMT</Company>
  <Pages>5</Pages>
  <Words>313</Words>
  <Characters>1789</Characters>
  <Lines>14</Lines>
  <Paragraphs>4</Paragraphs>
  <TotalTime>2</TotalTime>
  <ScaleCrop>false</ScaleCrop>
  <LinksUpToDate>false</LinksUpToDate>
  <CharactersWithSpaces>2098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2020-01-08T08:14:00Z</dcterms:created>
  <dc:creator>YT</dc:creator>
  <cp:lastModifiedBy>木子李</cp:lastModifiedBy>
  <cp:lastPrinted>2015-03-11T06:23:00Z</cp:lastPrinted>
  <dcterms:modified xsi:type="dcterms:W3CDTF">2024-05-27T12:52:24Z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2EF08762092F488E9D9CF32C7976CC57_12</vt:lpwstr>
  </property>
</Properties>
</file>