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E8885" w14:textId="77777777" w:rsidR="00821364" w:rsidRPr="00C831A2" w:rsidRDefault="00821364" w:rsidP="00821364">
      <w:pPr>
        <w:spacing w:line="360" w:lineRule="auto"/>
        <w:jc w:val="center"/>
        <w:outlineLvl w:val="0"/>
        <w:rPr>
          <w:b/>
          <w:color w:val="FF0000"/>
          <w:sz w:val="32"/>
          <w:szCs w:val="32"/>
        </w:rPr>
      </w:pPr>
      <w:bookmarkStart w:id="0" w:name="_Toc135582387"/>
      <w:bookmarkStart w:id="1" w:name="_Toc29357"/>
      <w:bookmarkStart w:id="2" w:name="_Toc19711"/>
      <w:bookmarkStart w:id="3" w:name="_Toc135578698"/>
      <w:bookmarkStart w:id="4" w:name="_Toc135581070"/>
      <w:bookmarkStart w:id="5" w:name="_Toc135579282"/>
      <w:bookmarkStart w:id="6" w:name="_Toc168498484"/>
      <w:r w:rsidRPr="00C831A2">
        <w:rPr>
          <w:b/>
          <w:color w:val="000000" w:themeColor="text1"/>
          <w:sz w:val="32"/>
          <w:szCs w:val="32"/>
        </w:rPr>
        <w:t>燃气锅炉碳计量测量结果不确定度评定示例</w:t>
      </w:r>
      <w:bookmarkEnd w:id="0"/>
      <w:bookmarkEnd w:id="1"/>
      <w:bookmarkEnd w:id="2"/>
      <w:bookmarkEnd w:id="3"/>
      <w:bookmarkEnd w:id="4"/>
      <w:bookmarkEnd w:id="5"/>
      <w:bookmarkEnd w:id="6"/>
    </w:p>
    <w:p w14:paraId="21581093" w14:textId="77777777" w:rsidR="00821364" w:rsidRPr="00381FB6" w:rsidRDefault="00821364" w:rsidP="00821364">
      <w:pPr>
        <w:spacing w:line="360" w:lineRule="auto"/>
        <w:ind w:firstLineChars="200" w:firstLine="480"/>
        <w:rPr>
          <w:bCs/>
          <w:color w:val="000000" w:themeColor="text1"/>
          <w:sz w:val="24"/>
        </w:rPr>
      </w:pPr>
      <w:r w:rsidRPr="00381FB6">
        <w:rPr>
          <w:bCs/>
          <w:color w:val="000000" w:themeColor="text1"/>
          <w:sz w:val="24"/>
        </w:rPr>
        <w:t xml:space="preserve">C.1 </w:t>
      </w:r>
      <w:r w:rsidRPr="00381FB6">
        <w:rPr>
          <w:bCs/>
          <w:color w:val="000000" w:themeColor="text1"/>
          <w:sz w:val="24"/>
        </w:rPr>
        <w:t>示值误差的不确定度评定概述</w:t>
      </w:r>
    </w:p>
    <w:p w14:paraId="4A80A6B7" w14:textId="77777777" w:rsidR="00821364" w:rsidRPr="00381FB6" w:rsidRDefault="00821364" w:rsidP="00821364">
      <w:pPr>
        <w:spacing w:line="360" w:lineRule="auto"/>
        <w:ind w:firstLineChars="200" w:firstLine="480"/>
        <w:rPr>
          <w:bCs/>
          <w:color w:val="000000" w:themeColor="text1"/>
          <w:sz w:val="24"/>
        </w:rPr>
      </w:pPr>
      <w:r w:rsidRPr="00381FB6">
        <w:rPr>
          <w:bCs/>
          <w:color w:val="000000" w:themeColor="text1"/>
          <w:sz w:val="24"/>
        </w:rPr>
        <w:t xml:space="preserve">C.1.1 </w:t>
      </w:r>
      <w:r w:rsidRPr="00381FB6">
        <w:rPr>
          <w:bCs/>
          <w:color w:val="000000" w:themeColor="text1"/>
          <w:sz w:val="24"/>
        </w:rPr>
        <w:t>测量方法</w:t>
      </w:r>
    </w:p>
    <w:p w14:paraId="44888B5E" w14:textId="77777777" w:rsidR="00821364" w:rsidRPr="00C831A2" w:rsidRDefault="00821364" w:rsidP="00821364">
      <w:pPr>
        <w:spacing w:line="360" w:lineRule="auto"/>
        <w:ind w:firstLineChars="200" w:firstLine="480"/>
        <w:rPr>
          <w:color w:val="000000" w:themeColor="text1"/>
          <w:sz w:val="24"/>
        </w:rPr>
      </w:pPr>
      <w:r w:rsidRPr="00381FB6">
        <w:rPr>
          <w:color w:val="000000" w:themeColor="text1"/>
          <w:sz w:val="24"/>
        </w:rPr>
        <w:t>按照仪器使用说明书对仪器预热稳定和调整，保持正常工作状态。通入仪器工况测量量程的</w:t>
      </w:r>
      <w:r w:rsidRPr="00381FB6">
        <w:rPr>
          <w:bCs/>
          <w:color w:val="000000" w:themeColor="text1"/>
          <w:sz w:val="24"/>
        </w:rPr>
        <w:t>10%</w:t>
      </w:r>
      <w:r w:rsidRPr="00381FB6">
        <w:rPr>
          <w:bCs/>
          <w:color w:val="000000" w:themeColor="text1"/>
          <w:sz w:val="24"/>
        </w:rPr>
        <w:t>、</w:t>
      </w:r>
      <w:r w:rsidRPr="00381FB6">
        <w:rPr>
          <w:bCs/>
          <w:color w:val="000000" w:themeColor="text1"/>
          <w:sz w:val="24"/>
        </w:rPr>
        <w:t>30%</w:t>
      </w:r>
      <w:r w:rsidRPr="00381FB6">
        <w:rPr>
          <w:bCs/>
          <w:color w:val="000000" w:themeColor="text1"/>
          <w:sz w:val="24"/>
        </w:rPr>
        <w:t>、</w:t>
      </w:r>
      <w:r w:rsidRPr="00381FB6">
        <w:rPr>
          <w:bCs/>
          <w:color w:val="000000" w:themeColor="text1"/>
          <w:sz w:val="24"/>
        </w:rPr>
        <w:t>50%</w:t>
      </w:r>
      <w:r w:rsidRPr="00381FB6">
        <w:rPr>
          <w:bCs/>
          <w:color w:val="000000" w:themeColor="text1"/>
          <w:sz w:val="24"/>
        </w:rPr>
        <w:t>和</w:t>
      </w:r>
      <w:r w:rsidRPr="00381FB6">
        <w:rPr>
          <w:bCs/>
          <w:color w:val="000000" w:themeColor="text1"/>
          <w:sz w:val="24"/>
        </w:rPr>
        <w:t>80%</w:t>
      </w:r>
      <w:r w:rsidRPr="00C831A2">
        <w:rPr>
          <w:color w:val="000000" w:themeColor="text1"/>
          <w:sz w:val="24"/>
        </w:rPr>
        <w:t>的标准气体，读数稳定后分别记录各浓度标准气体的显示值；</w:t>
      </w:r>
      <w:proofErr w:type="gramStart"/>
      <w:r w:rsidRPr="00C831A2">
        <w:rPr>
          <w:color w:val="000000" w:themeColor="text1"/>
          <w:sz w:val="24"/>
        </w:rPr>
        <w:t>再通入零气</w:t>
      </w:r>
      <w:proofErr w:type="gramEnd"/>
      <w:r w:rsidRPr="00C831A2">
        <w:rPr>
          <w:color w:val="000000" w:themeColor="text1"/>
          <w:sz w:val="24"/>
        </w:rPr>
        <w:t>（标称值）</w:t>
      </w:r>
      <w:proofErr w:type="gramStart"/>
      <w:r w:rsidRPr="00C831A2">
        <w:rPr>
          <w:color w:val="000000" w:themeColor="text1"/>
          <w:sz w:val="24"/>
        </w:rPr>
        <w:t>后记录</w:t>
      </w:r>
      <w:proofErr w:type="gramEnd"/>
      <w:r w:rsidRPr="00C831A2">
        <w:rPr>
          <w:color w:val="000000" w:themeColor="text1"/>
          <w:sz w:val="24"/>
        </w:rPr>
        <w:t>显示值。分别重复测量</w:t>
      </w:r>
      <w:r w:rsidRPr="00C831A2">
        <w:rPr>
          <w:color w:val="000000" w:themeColor="text1"/>
          <w:sz w:val="24"/>
        </w:rPr>
        <w:t>3</w:t>
      </w:r>
      <w:r w:rsidRPr="00C831A2">
        <w:rPr>
          <w:color w:val="000000" w:themeColor="text1"/>
          <w:sz w:val="24"/>
        </w:rPr>
        <w:t>次的算术平均值为仪器示值，仪器示值与标称值的</w:t>
      </w:r>
      <w:r w:rsidRPr="00C831A2">
        <w:rPr>
          <w:rFonts w:hint="eastAsia"/>
          <w:color w:val="000000" w:themeColor="text1"/>
          <w:sz w:val="24"/>
        </w:rPr>
        <w:t>差值</w:t>
      </w:r>
      <w:r w:rsidRPr="00C831A2">
        <w:rPr>
          <w:color w:val="000000" w:themeColor="text1"/>
          <w:sz w:val="24"/>
        </w:rPr>
        <w:t>即为该分析仪的示值误差。</w:t>
      </w:r>
    </w:p>
    <w:p w14:paraId="45575EE1"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C.1.2 </w:t>
      </w:r>
      <w:r w:rsidRPr="008828EB">
        <w:rPr>
          <w:bCs/>
          <w:color w:val="000000" w:themeColor="text1"/>
          <w:sz w:val="24"/>
        </w:rPr>
        <w:t>测量标准</w:t>
      </w:r>
    </w:p>
    <w:p w14:paraId="43DFAD63" w14:textId="77777777" w:rsidR="00821364" w:rsidRPr="00C831A2" w:rsidRDefault="00821364" w:rsidP="00821364">
      <w:pPr>
        <w:spacing w:line="360" w:lineRule="auto"/>
        <w:ind w:firstLineChars="200" w:firstLine="480"/>
        <w:rPr>
          <w:bCs/>
          <w:color w:val="000000" w:themeColor="text1"/>
        </w:rPr>
      </w:pPr>
      <w:r w:rsidRPr="00C831A2">
        <w:rPr>
          <w:color w:val="000000" w:themeColor="text1"/>
          <w:sz w:val="24"/>
        </w:rPr>
        <w:t>能够稳定发生浓度约为仪器工况测量量程的</w:t>
      </w:r>
      <w:r w:rsidRPr="00C831A2">
        <w:rPr>
          <w:color w:val="000000" w:themeColor="text1"/>
          <w:sz w:val="24"/>
        </w:rPr>
        <w:t>10%</w:t>
      </w:r>
      <w:r w:rsidRPr="00C831A2">
        <w:rPr>
          <w:color w:val="000000" w:themeColor="text1"/>
          <w:sz w:val="24"/>
        </w:rPr>
        <w:t>、</w:t>
      </w:r>
      <w:r w:rsidRPr="00C831A2">
        <w:rPr>
          <w:color w:val="000000" w:themeColor="text1"/>
          <w:sz w:val="24"/>
        </w:rPr>
        <w:t>30%</w:t>
      </w:r>
      <w:r w:rsidRPr="00C831A2">
        <w:rPr>
          <w:color w:val="000000" w:themeColor="text1"/>
          <w:sz w:val="24"/>
        </w:rPr>
        <w:t>、</w:t>
      </w:r>
      <w:r w:rsidRPr="00C831A2">
        <w:rPr>
          <w:color w:val="000000" w:themeColor="text1"/>
          <w:sz w:val="24"/>
        </w:rPr>
        <w:t>50%</w:t>
      </w:r>
      <w:r w:rsidRPr="00C831A2">
        <w:rPr>
          <w:color w:val="000000" w:themeColor="text1"/>
          <w:sz w:val="24"/>
        </w:rPr>
        <w:t>和</w:t>
      </w:r>
      <w:r w:rsidRPr="00C831A2">
        <w:rPr>
          <w:color w:val="000000" w:themeColor="text1"/>
          <w:sz w:val="24"/>
        </w:rPr>
        <w:t>80%</w:t>
      </w:r>
      <w:r w:rsidRPr="00C831A2">
        <w:rPr>
          <w:color w:val="000000" w:themeColor="text1"/>
          <w:sz w:val="24"/>
        </w:rPr>
        <w:t>的标准气体。</w:t>
      </w:r>
      <w:r w:rsidRPr="00C831A2">
        <w:rPr>
          <w:rFonts w:hint="eastAsia"/>
          <w:color w:val="000000" w:themeColor="text1"/>
          <w:sz w:val="24"/>
        </w:rPr>
        <w:t>氮中二氧化碳标准气体可通过渗透管或高浓度钢瓶标准气体添加稀释得到。</w:t>
      </w:r>
    </w:p>
    <w:p w14:paraId="770B8C06"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C.2 </w:t>
      </w:r>
      <w:r w:rsidRPr="008828EB">
        <w:rPr>
          <w:bCs/>
          <w:color w:val="000000" w:themeColor="text1"/>
          <w:sz w:val="24"/>
        </w:rPr>
        <w:t>测量模型</w:t>
      </w:r>
      <w:r w:rsidRPr="008828EB">
        <w:rPr>
          <w:color w:val="000000" w:themeColor="text1"/>
          <w:sz w:val="24"/>
        </w:rPr>
        <w:t xml:space="preserve">            </w:t>
      </w:r>
    </w:p>
    <w:p w14:paraId="1107B2F3"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C.2.1 </w:t>
      </w:r>
      <w:r w:rsidRPr="008828EB">
        <w:rPr>
          <w:bCs/>
          <w:color w:val="000000" w:themeColor="text1"/>
          <w:sz w:val="24"/>
        </w:rPr>
        <w:t>示值误差</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821364" w:rsidRPr="008828EB" w14:paraId="01FE70E6" w14:textId="77777777" w:rsidTr="00BF5D4A">
        <w:tc>
          <w:tcPr>
            <w:tcW w:w="988" w:type="dxa"/>
            <w:vAlign w:val="center"/>
          </w:tcPr>
          <w:p w14:paraId="6F68D5FD" w14:textId="77777777" w:rsidR="00821364" w:rsidRPr="008828EB" w:rsidRDefault="00821364" w:rsidP="00BF5D4A">
            <w:pPr>
              <w:snapToGrid w:val="0"/>
              <w:jc w:val="left"/>
              <w:rPr>
                <w:color w:val="000000" w:themeColor="text1"/>
                <w:sz w:val="24"/>
              </w:rPr>
            </w:pPr>
          </w:p>
        </w:tc>
        <w:tc>
          <w:tcPr>
            <w:tcW w:w="6237" w:type="dxa"/>
            <w:vAlign w:val="center"/>
          </w:tcPr>
          <w:p w14:paraId="23E63037" w14:textId="77777777" w:rsidR="00821364" w:rsidRPr="008828EB" w:rsidRDefault="00821364" w:rsidP="00BF5D4A">
            <w:pPr>
              <w:snapToGrid w:val="0"/>
              <w:spacing w:line="360" w:lineRule="auto"/>
              <w:ind w:firstLineChars="200" w:firstLine="480"/>
              <w:jc w:val="left"/>
              <w:rPr>
                <w:color w:val="000000" w:themeColor="text1"/>
                <w:sz w:val="24"/>
              </w:rPr>
            </w:pPr>
            <m:oMathPara>
              <m:oMath>
                <m:r>
                  <w:rPr>
                    <w:rFonts w:ascii="Cambria Math" w:hAnsi="Cambria Math"/>
                    <w:color w:val="000000" w:themeColor="text1"/>
                    <w:sz w:val="24"/>
                  </w:rPr>
                  <m:t>Δc</m:t>
                </m:r>
                <m:r>
                  <m:rPr>
                    <m:sty m:val="p"/>
                  </m:rPr>
                  <w:rPr>
                    <w:rFonts w:ascii="Cambria Math" w:hAnsi="Cambria Math"/>
                    <w:color w:val="000000" w:themeColor="text1"/>
                    <w:sz w:val="24"/>
                  </w:rPr>
                  <m:t>=</m:t>
                </m:r>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hint="eastAsia"/>
                            <w:color w:val="000000" w:themeColor="text1"/>
                            <w:sz w:val="24"/>
                          </w:rPr>
                          <m:t>d</m:t>
                        </m:r>
                        <m:r>
                          <m:rPr>
                            <m:sty m:val="p"/>
                          </m:rPr>
                          <w:rPr>
                            <w:rFonts w:ascii="Cambria Math" w:hAnsi="Cambria Math"/>
                            <w:color w:val="000000" w:themeColor="text1"/>
                            <w:sz w:val="24"/>
                          </w:rPr>
                          <m:t>i</m:t>
                        </m:r>
                      </m:sub>
                    </m:sSub>
                  </m:e>
                </m:acc>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si</m:t>
                    </m:r>
                  </m:sub>
                </m:sSub>
              </m:oMath>
            </m:oMathPara>
          </w:p>
        </w:tc>
        <w:tc>
          <w:tcPr>
            <w:tcW w:w="1071" w:type="dxa"/>
            <w:vAlign w:val="center"/>
          </w:tcPr>
          <w:p w14:paraId="50D477A2" w14:textId="77777777" w:rsidR="00821364" w:rsidRPr="008828EB" w:rsidRDefault="00821364" w:rsidP="00BF5D4A">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C.1)</w:t>
            </w:r>
          </w:p>
        </w:tc>
      </w:tr>
    </w:tbl>
    <w:p w14:paraId="7BFEDBCB" w14:textId="6D28A91B" w:rsidR="00821364" w:rsidRDefault="00821364" w:rsidP="00821364">
      <w:pPr>
        <w:snapToGrid w:val="0"/>
        <w:spacing w:line="360" w:lineRule="auto"/>
        <w:ind w:firstLineChars="200" w:firstLine="480"/>
        <w:rPr>
          <w:rFonts w:hint="eastAsia"/>
          <w:color w:val="000000" w:themeColor="text1"/>
          <w:sz w:val="24"/>
        </w:rPr>
      </w:pPr>
      <w:r>
        <w:rPr>
          <w:rFonts w:hint="eastAsia"/>
          <w:color w:val="000000" w:themeColor="text1"/>
          <w:sz w:val="24"/>
        </w:rPr>
        <w:t>=0.001% (</w:t>
      </w:r>
      <w:r>
        <w:rPr>
          <w:rFonts w:hint="eastAsia"/>
          <w:color w:val="000000" w:themeColor="text1"/>
          <w:sz w:val="24"/>
        </w:rPr>
        <w:t>浓度：</w:t>
      </w:r>
      <w:r>
        <w:rPr>
          <w:rFonts w:hint="eastAsia"/>
          <w:color w:val="000000" w:themeColor="text1"/>
          <w:sz w:val="24"/>
        </w:rPr>
        <w:t>2%)</w:t>
      </w:r>
      <w:r>
        <w:rPr>
          <w:rFonts w:hint="eastAsia"/>
          <w:color w:val="000000" w:themeColor="text1"/>
          <w:sz w:val="24"/>
        </w:rPr>
        <w:t>、</w:t>
      </w:r>
      <w:r>
        <w:rPr>
          <w:rFonts w:hint="eastAsia"/>
          <w:color w:val="000000" w:themeColor="text1"/>
          <w:sz w:val="24"/>
        </w:rPr>
        <w:t>0.001% (</w:t>
      </w:r>
      <w:r>
        <w:rPr>
          <w:rFonts w:hint="eastAsia"/>
          <w:color w:val="000000" w:themeColor="text1"/>
          <w:sz w:val="24"/>
        </w:rPr>
        <w:t>浓度：</w:t>
      </w:r>
      <w:r>
        <w:rPr>
          <w:rFonts w:hint="eastAsia"/>
          <w:color w:val="000000" w:themeColor="text1"/>
          <w:sz w:val="24"/>
        </w:rPr>
        <w:t>6</w:t>
      </w:r>
      <w:r>
        <w:rPr>
          <w:rFonts w:hint="eastAsia"/>
          <w:color w:val="000000" w:themeColor="text1"/>
          <w:sz w:val="24"/>
        </w:rPr>
        <w:t>%)</w:t>
      </w:r>
      <w:r>
        <w:rPr>
          <w:rFonts w:hint="eastAsia"/>
          <w:color w:val="000000" w:themeColor="text1"/>
          <w:sz w:val="24"/>
        </w:rPr>
        <w:t>、</w:t>
      </w:r>
      <w:r>
        <w:rPr>
          <w:rFonts w:hint="eastAsia"/>
          <w:color w:val="000000" w:themeColor="text1"/>
          <w:sz w:val="24"/>
        </w:rPr>
        <w:t>0.001% (</w:t>
      </w:r>
      <w:r>
        <w:rPr>
          <w:rFonts w:hint="eastAsia"/>
          <w:color w:val="000000" w:themeColor="text1"/>
          <w:sz w:val="24"/>
        </w:rPr>
        <w:t>浓度：</w:t>
      </w:r>
      <w:r>
        <w:rPr>
          <w:rFonts w:hint="eastAsia"/>
          <w:color w:val="000000" w:themeColor="text1"/>
          <w:sz w:val="24"/>
        </w:rPr>
        <w:t>10</w:t>
      </w:r>
      <w:r>
        <w:rPr>
          <w:rFonts w:hint="eastAsia"/>
          <w:color w:val="000000" w:themeColor="text1"/>
          <w:sz w:val="24"/>
        </w:rPr>
        <w:t>%)</w:t>
      </w:r>
      <w:r>
        <w:rPr>
          <w:rFonts w:hint="eastAsia"/>
          <w:color w:val="000000" w:themeColor="text1"/>
          <w:sz w:val="24"/>
        </w:rPr>
        <w:t>、</w:t>
      </w:r>
      <w:r>
        <w:rPr>
          <w:rFonts w:hint="eastAsia"/>
          <w:color w:val="000000" w:themeColor="text1"/>
          <w:sz w:val="24"/>
        </w:rPr>
        <w:t>0.001% (</w:t>
      </w:r>
      <w:r>
        <w:rPr>
          <w:rFonts w:hint="eastAsia"/>
          <w:color w:val="000000" w:themeColor="text1"/>
          <w:sz w:val="24"/>
        </w:rPr>
        <w:t>浓度：</w:t>
      </w:r>
      <w:r>
        <w:rPr>
          <w:rFonts w:hint="eastAsia"/>
          <w:color w:val="000000" w:themeColor="text1"/>
          <w:sz w:val="24"/>
        </w:rPr>
        <w:t>16</w:t>
      </w:r>
      <w:r>
        <w:rPr>
          <w:rFonts w:hint="eastAsia"/>
          <w:color w:val="000000" w:themeColor="text1"/>
          <w:sz w:val="24"/>
        </w:rPr>
        <w:t>%)</w:t>
      </w:r>
    </w:p>
    <w:p w14:paraId="193DE260" w14:textId="1C89184A" w:rsidR="00821364" w:rsidRPr="008828EB" w:rsidRDefault="00821364" w:rsidP="00821364">
      <w:pPr>
        <w:snapToGrid w:val="0"/>
        <w:spacing w:line="360" w:lineRule="auto"/>
        <w:ind w:firstLineChars="200" w:firstLine="480"/>
        <w:rPr>
          <w:color w:val="000000" w:themeColor="text1"/>
          <w:sz w:val="24"/>
        </w:rPr>
      </w:pPr>
      <w:r w:rsidRPr="008828EB">
        <w:rPr>
          <w:color w:val="000000" w:themeColor="text1"/>
          <w:sz w:val="24"/>
        </w:rPr>
        <w:t>式中：</w:t>
      </w:r>
      <m:oMath>
        <m:r>
          <w:rPr>
            <w:rFonts w:ascii="Cambria Math" w:hAnsi="Cambria Math"/>
            <w:color w:val="000000" w:themeColor="text1"/>
            <w:sz w:val="24"/>
          </w:rPr>
          <m:t>Δc</m:t>
        </m:r>
      </m:oMath>
      <w:r w:rsidRPr="008828EB">
        <w:rPr>
          <w:color w:val="000000" w:themeColor="text1"/>
          <w:sz w:val="24"/>
        </w:rPr>
        <w:t>——</w:t>
      </w:r>
      <w:r w:rsidRPr="008828EB">
        <w:rPr>
          <w:color w:val="000000" w:themeColor="text1"/>
          <w:sz w:val="24"/>
        </w:rPr>
        <w:t>测量第</w:t>
      </w:r>
      <w:proofErr w:type="spellStart"/>
      <w:r w:rsidRPr="008828EB">
        <w:rPr>
          <w:color w:val="000000" w:themeColor="text1"/>
          <w:sz w:val="24"/>
        </w:rPr>
        <w:t>i</w:t>
      </w:r>
      <w:proofErr w:type="spellEnd"/>
      <w:r w:rsidRPr="008828EB">
        <w:rPr>
          <w:color w:val="000000" w:themeColor="text1"/>
          <w:sz w:val="24"/>
        </w:rPr>
        <w:t>种浓度标准气体的示值误差，</w:t>
      </w:r>
      <w:r w:rsidRPr="008828EB">
        <w:rPr>
          <w:color w:val="000000" w:themeColor="text1"/>
          <w:sz w:val="24"/>
        </w:rPr>
        <w:t>%</w:t>
      </w:r>
      <w:r w:rsidRPr="008828EB">
        <w:rPr>
          <w:color w:val="000000" w:themeColor="text1"/>
          <w:sz w:val="24"/>
        </w:rPr>
        <w:t>；</w:t>
      </w:r>
    </w:p>
    <w:p w14:paraId="762246E7" w14:textId="77777777" w:rsidR="00821364" w:rsidRPr="008828EB" w:rsidRDefault="00821364" w:rsidP="00821364">
      <w:pPr>
        <w:snapToGrid w:val="0"/>
        <w:spacing w:line="360" w:lineRule="auto"/>
        <w:ind w:firstLineChars="500" w:firstLine="1200"/>
        <w:rPr>
          <w:color w:val="000000" w:themeColor="text1"/>
          <w:sz w:val="24"/>
        </w:rPr>
      </w:pP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si</m:t>
            </m:r>
          </m:sub>
        </m:sSub>
      </m:oMath>
      <w:r w:rsidRPr="008828EB">
        <w:rPr>
          <w:color w:val="000000" w:themeColor="text1"/>
          <w:sz w:val="24"/>
        </w:rPr>
        <w:t>——</w:t>
      </w:r>
      <w:r w:rsidRPr="008828EB">
        <w:rPr>
          <w:color w:val="000000" w:themeColor="text1"/>
          <w:sz w:val="24"/>
        </w:rPr>
        <w:t>第</w:t>
      </w:r>
      <w:proofErr w:type="spellStart"/>
      <w:r w:rsidRPr="008828EB">
        <w:rPr>
          <w:color w:val="000000" w:themeColor="text1"/>
          <w:sz w:val="24"/>
        </w:rPr>
        <w:t>i</w:t>
      </w:r>
      <w:proofErr w:type="spellEnd"/>
      <w:r w:rsidRPr="008828EB">
        <w:rPr>
          <w:color w:val="000000" w:themeColor="text1"/>
          <w:sz w:val="24"/>
        </w:rPr>
        <w:t>种浓度标准气体浓度标称值，</w:t>
      </w:r>
      <w:r w:rsidRPr="008828EB">
        <w:rPr>
          <w:color w:val="000000" w:themeColor="text1"/>
          <w:sz w:val="24"/>
        </w:rPr>
        <w:t>ppm</w:t>
      </w:r>
      <w:r w:rsidRPr="008828EB">
        <w:rPr>
          <w:color w:val="000000" w:themeColor="text1"/>
          <w:sz w:val="24"/>
        </w:rPr>
        <w:t>（</w:t>
      </w:r>
      <w:r w:rsidRPr="008828EB">
        <w:rPr>
          <w:color w:val="000000" w:themeColor="text1"/>
          <w:sz w:val="24"/>
        </w:rPr>
        <w:t>mg/m</w:t>
      </w:r>
      <w:r w:rsidRPr="008828EB">
        <w:rPr>
          <w:color w:val="000000" w:themeColor="text1"/>
          <w:sz w:val="24"/>
          <w:vertAlign w:val="superscript"/>
        </w:rPr>
        <w:t>3</w:t>
      </w:r>
      <w:r w:rsidRPr="008828EB">
        <w:rPr>
          <w:color w:val="000000" w:themeColor="text1"/>
          <w:sz w:val="24"/>
        </w:rPr>
        <w:t>）；</w:t>
      </w:r>
    </w:p>
    <w:p w14:paraId="1C070E72" w14:textId="77777777" w:rsidR="00821364" w:rsidRPr="008828EB" w:rsidRDefault="00821364" w:rsidP="00821364">
      <w:pPr>
        <w:snapToGrid w:val="0"/>
        <w:spacing w:line="360" w:lineRule="auto"/>
        <w:ind w:firstLineChars="500" w:firstLine="1200"/>
        <w:rPr>
          <w:color w:val="000000" w:themeColor="text1"/>
          <w:sz w:val="24"/>
        </w:rPr>
      </w:pPr>
      <m:oMath>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hint="eastAsia"/>
                    <w:color w:val="000000" w:themeColor="text1"/>
                    <w:sz w:val="24"/>
                  </w:rPr>
                  <m:t>d</m:t>
                </m:r>
                <m:r>
                  <m:rPr>
                    <m:sty m:val="p"/>
                  </m:rPr>
                  <w:rPr>
                    <w:rFonts w:ascii="Cambria Math" w:hAnsi="Cambria Math"/>
                    <w:color w:val="000000" w:themeColor="text1"/>
                    <w:sz w:val="24"/>
                  </w:rPr>
                  <m:t>i</m:t>
                </m:r>
              </m:sub>
            </m:sSub>
          </m:e>
        </m:acc>
      </m:oMath>
      <w:r w:rsidRPr="008828EB">
        <w:rPr>
          <w:color w:val="000000" w:themeColor="text1"/>
          <w:sz w:val="24"/>
        </w:rPr>
        <w:t>——</w:t>
      </w:r>
      <w:r w:rsidRPr="008828EB">
        <w:rPr>
          <w:color w:val="000000" w:themeColor="text1"/>
          <w:sz w:val="24"/>
        </w:rPr>
        <w:t>测量第</w:t>
      </w:r>
      <w:proofErr w:type="spellStart"/>
      <w:r w:rsidRPr="008828EB">
        <w:rPr>
          <w:color w:val="000000" w:themeColor="text1"/>
          <w:sz w:val="24"/>
        </w:rPr>
        <w:t>i</w:t>
      </w:r>
      <w:proofErr w:type="spellEnd"/>
      <w:r w:rsidRPr="008828EB">
        <w:rPr>
          <w:color w:val="000000" w:themeColor="text1"/>
          <w:sz w:val="24"/>
        </w:rPr>
        <w:t>种浓度标准气体</w:t>
      </w:r>
      <w:r w:rsidRPr="008828EB">
        <w:rPr>
          <w:color w:val="000000" w:themeColor="text1"/>
          <w:sz w:val="24"/>
        </w:rPr>
        <w:t>3</w:t>
      </w:r>
      <w:r w:rsidRPr="008828EB">
        <w:rPr>
          <w:color w:val="000000" w:themeColor="text1"/>
          <w:sz w:val="24"/>
        </w:rPr>
        <w:t>次测量平均值，</w:t>
      </w:r>
      <w:r w:rsidRPr="008828EB">
        <w:rPr>
          <w:color w:val="000000" w:themeColor="text1"/>
          <w:sz w:val="24"/>
        </w:rPr>
        <w:t>ppm</w:t>
      </w:r>
      <w:r w:rsidRPr="008828EB">
        <w:rPr>
          <w:color w:val="000000" w:themeColor="text1"/>
          <w:sz w:val="24"/>
        </w:rPr>
        <w:t>（</w:t>
      </w:r>
      <w:r w:rsidRPr="008828EB">
        <w:rPr>
          <w:color w:val="000000" w:themeColor="text1"/>
          <w:sz w:val="24"/>
        </w:rPr>
        <w:t>mg/m</w:t>
      </w:r>
      <w:r w:rsidRPr="008828EB">
        <w:rPr>
          <w:color w:val="000000" w:themeColor="text1"/>
          <w:sz w:val="24"/>
          <w:vertAlign w:val="superscript"/>
        </w:rPr>
        <w:t>3</w:t>
      </w:r>
      <w:r w:rsidRPr="008828EB">
        <w:rPr>
          <w:color w:val="000000" w:themeColor="text1"/>
          <w:sz w:val="24"/>
        </w:rPr>
        <w:t>）；</w:t>
      </w:r>
    </w:p>
    <w:p w14:paraId="55C1EF13" w14:textId="77777777" w:rsidR="00821364" w:rsidRPr="008828EB" w:rsidRDefault="00821364" w:rsidP="00821364">
      <w:pPr>
        <w:spacing w:line="360" w:lineRule="auto"/>
        <w:ind w:firstLineChars="500" w:firstLine="1200"/>
        <w:rPr>
          <w:color w:val="000000" w:themeColor="text1"/>
          <w:sz w:val="24"/>
        </w:rPr>
      </w:pPr>
      <w:proofErr w:type="spellStart"/>
      <w:r w:rsidRPr="008828EB">
        <w:rPr>
          <w:color w:val="000000" w:themeColor="text1"/>
          <w:sz w:val="24"/>
        </w:rPr>
        <w:t>i</w:t>
      </w:r>
      <w:proofErr w:type="spellEnd"/>
      <w:r w:rsidRPr="008828EB">
        <w:rPr>
          <w:color w:val="000000" w:themeColor="text1"/>
          <w:sz w:val="24"/>
        </w:rPr>
        <w:t>——</w:t>
      </w:r>
      <w:r w:rsidRPr="008828EB">
        <w:rPr>
          <w:color w:val="000000" w:themeColor="text1"/>
          <w:sz w:val="24"/>
        </w:rPr>
        <w:t>测量标准气体序号（</w:t>
      </w:r>
      <w:proofErr w:type="spellStart"/>
      <w:r w:rsidRPr="008828EB">
        <w:rPr>
          <w:color w:val="000000" w:themeColor="text1"/>
          <w:sz w:val="24"/>
        </w:rPr>
        <w:t>i</w:t>
      </w:r>
      <w:proofErr w:type="spellEnd"/>
      <w:r w:rsidRPr="008828EB">
        <w:rPr>
          <w:color w:val="000000" w:themeColor="text1"/>
          <w:sz w:val="24"/>
        </w:rPr>
        <w:t>=1~3</w:t>
      </w:r>
      <w:r w:rsidRPr="008828EB">
        <w:rPr>
          <w:color w:val="000000" w:themeColor="text1"/>
          <w:sz w:val="24"/>
        </w:rPr>
        <w:t>）</w:t>
      </w:r>
      <w:r w:rsidRPr="008828EB">
        <w:rPr>
          <w:color w:val="000000" w:themeColor="text1"/>
          <w:sz w:val="24"/>
        </w:rPr>
        <w:t>.</w:t>
      </w:r>
    </w:p>
    <w:p w14:paraId="0BFD8692"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C.2.2 </w:t>
      </w:r>
      <w:r w:rsidRPr="008828EB">
        <w:rPr>
          <w:bCs/>
          <w:color w:val="000000" w:themeColor="text1"/>
          <w:sz w:val="24"/>
        </w:rPr>
        <w:t>灵敏系数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1071"/>
      </w:tblGrid>
      <w:tr w:rsidR="00821364" w:rsidRPr="008828EB" w14:paraId="1AC731E0" w14:textId="77777777" w:rsidTr="00BF5D4A">
        <w:tc>
          <w:tcPr>
            <w:tcW w:w="988" w:type="dxa"/>
            <w:vAlign w:val="center"/>
          </w:tcPr>
          <w:p w14:paraId="18203A47" w14:textId="77777777" w:rsidR="00821364" w:rsidRPr="008828EB" w:rsidRDefault="00821364" w:rsidP="00BF5D4A">
            <w:pPr>
              <w:snapToGrid w:val="0"/>
              <w:jc w:val="left"/>
              <w:rPr>
                <w:color w:val="000000" w:themeColor="text1"/>
                <w:sz w:val="24"/>
              </w:rPr>
            </w:pPr>
          </w:p>
        </w:tc>
        <w:tc>
          <w:tcPr>
            <w:tcW w:w="6237" w:type="dxa"/>
            <w:vAlign w:val="center"/>
          </w:tcPr>
          <w:p w14:paraId="276861DA" w14:textId="77777777" w:rsidR="00821364" w:rsidRPr="008828EB" w:rsidRDefault="00821364" w:rsidP="00BF5D4A">
            <w:pPr>
              <w:spacing w:line="360" w:lineRule="auto"/>
              <w:rPr>
                <w:rFonts w:hAnsi="Cambria Math"/>
                <w:bCs/>
                <w:color w:val="000000" w:themeColor="text1"/>
                <w:sz w:val="24"/>
              </w:rPr>
            </w:pPr>
            <m:oMathPara>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1</m:t>
                    </m:r>
                  </m:sub>
                </m:sSub>
                <m:r>
                  <m:rPr>
                    <m:sty m:val="p"/>
                  </m:rPr>
                  <w:rPr>
                    <w:rFonts w:ascii="Cambria Math" w:hAnsi="Cambria Math"/>
                    <w:color w:val="000000" w:themeColor="text1"/>
                    <w:sz w:val="24"/>
                  </w:rPr>
                  <m:t>=</m:t>
                </m:r>
                <m:f>
                  <m:fPr>
                    <m:ctrlPr>
                      <w:rPr>
                        <w:rFonts w:ascii="Cambria Math" w:hAnsi="Cambria Math"/>
                        <w:bCs/>
                        <w:color w:val="000000" w:themeColor="text1"/>
                        <w:sz w:val="24"/>
                      </w:rPr>
                    </m:ctrlPr>
                  </m:fPr>
                  <m:num>
                    <m:r>
                      <m:rPr>
                        <m:sty m:val="p"/>
                      </m:rPr>
                      <w:rPr>
                        <w:rFonts w:ascii="Cambria Math" w:hAnsi="Cambria Math"/>
                        <w:color w:val="000000" w:themeColor="text1"/>
                        <w:sz w:val="24"/>
                      </w:rPr>
                      <m:t>∂</m:t>
                    </m:r>
                    <m:r>
                      <w:rPr>
                        <w:rFonts w:ascii="Cambria Math" w:hAnsi="Cambria Math"/>
                        <w:color w:val="000000" w:themeColor="text1"/>
                        <w:sz w:val="24"/>
                      </w:rPr>
                      <m:t>Δc</m:t>
                    </m:r>
                  </m:num>
                  <m:den>
                    <m:r>
                      <m:rPr>
                        <m:sty m:val="p"/>
                      </m:rPr>
                      <w:rPr>
                        <w:rFonts w:ascii="Cambria Math" w:hAnsi="Cambria Math"/>
                        <w:color w:val="000000" w:themeColor="text1"/>
                        <w:sz w:val="24"/>
                      </w:rPr>
                      <m:t>∂</m:t>
                    </m:r>
                    <m:bar>
                      <m:barPr>
                        <m:pos m:val="top"/>
                        <m:ctrlPr>
                          <w:rPr>
                            <w:rFonts w:ascii="Cambria Math" w:hAnsi="Cambria Math"/>
                            <w:color w:val="000000" w:themeColor="text1"/>
                            <w:sz w:val="24"/>
                          </w:rPr>
                        </m:ctrlPr>
                      </m:barPr>
                      <m:e>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di</m:t>
                            </m:r>
                          </m:sub>
                        </m:sSub>
                      </m:e>
                    </m:bar>
                  </m:den>
                </m:f>
                <m:r>
                  <m:rPr>
                    <m:sty m:val="p"/>
                  </m:rPr>
                  <w:rPr>
                    <w:rFonts w:ascii="Cambria Math" w:hAnsi="Cambria Math"/>
                    <w:color w:val="000000" w:themeColor="text1"/>
                    <w:sz w:val="24"/>
                  </w:rPr>
                  <m:t>=1</m:t>
                </m:r>
              </m:oMath>
            </m:oMathPara>
          </w:p>
        </w:tc>
        <w:tc>
          <w:tcPr>
            <w:tcW w:w="1071" w:type="dxa"/>
            <w:vAlign w:val="center"/>
          </w:tcPr>
          <w:p w14:paraId="6A7EBA8A" w14:textId="77777777" w:rsidR="00821364" w:rsidRPr="008828EB" w:rsidRDefault="00821364" w:rsidP="00BF5D4A">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C.2)</w:t>
            </w:r>
          </w:p>
        </w:tc>
      </w:tr>
      <w:tr w:rsidR="00821364" w:rsidRPr="008828EB" w14:paraId="6E6010B1" w14:textId="77777777" w:rsidTr="00BF5D4A">
        <w:tc>
          <w:tcPr>
            <w:tcW w:w="988" w:type="dxa"/>
          </w:tcPr>
          <w:p w14:paraId="66D12DDF" w14:textId="77777777" w:rsidR="00821364" w:rsidRPr="008828EB" w:rsidRDefault="00821364" w:rsidP="00BF5D4A">
            <w:pPr>
              <w:snapToGrid w:val="0"/>
              <w:jc w:val="left"/>
              <w:rPr>
                <w:color w:val="000000" w:themeColor="text1"/>
                <w:sz w:val="24"/>
              </w:rPr>
            </w:pPr>
          </w:p>
        </w:tc>
        <w:tc>
          <w:tcPr>
            <w:tcW w:w="6237" w:type="dxa"/>
          </w:tcPr>
          <w:p w14:paraId="01D9B981" w14:textId="77777777" w:rsidR="00821364" w:rsidRPr="008828EB" w:rsidRDefault="00821364" w:rsidP="00BF5D4A">
            <w:pPr>
              <w:spacing w:line="360" w:lineRule="auto"/>
              <w:rPr>
                <w:rFonts w:hAnsi="Cambria Math"/>
                <w:bCs/>
                <w:color w:val="000000" w:themeColor="text1"/>
                <w:sz w:val="24"/>
              </w:rPr>
            </w:pPr>
            <m:oMathPara>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2</m:t>
                    </m:r>
                  </m:sub>
                </m:sSub>
                <m:r>
                  <m:rPr>
                    <m:sty m:val="p"/>
                  </m:rPr>
                  <w:rPr>
                    <w:rFonts w:ascii="Cambria Math" w:hAnsi="Cambria Math"/>
                    <w:color w:val="000000" w:themeColor="text1"/>
                    <w:sz w:val="24"/>
                  </w:rPr>
                  <m:t>=</m:t>
                </m:r>
                <m:f>
                  <m:fPr>
                    <m:ctrlPr>
                      <w:rPr>
                        <w:rFonts w:ascii="Cambria Math" w:hAnsi="Cambria Math"/>
                        <w:bCs/>
                        <w:color w:val="000000" w:themeColor="text1"/>
                        <w:sz w:val="24"/>
                      </w:rPr>
                    </m:ctrlPr>
                  </m:fPr>
                  <m:num>
                    <m:r>
                      <m:rPr>
                        <m:sty m:val="p"/>
                      </m:rPr>
                      <w:rPr>
                        <w:rFonts w:ascii="Cambria Math" w:hAnsi="Cambria Math"/>
                        <w:color w:val="000000" w:themeColor="text1"/>
                        <w:sz w:val="24"/>
                      </w:rPr>
                      <m:t>∂</m:t>
                    </m:r>
                    <m:r>
                      <w:rPr>
                        <w:rFonts w:ascii="Cambria Math" w:hAnsi="Cambria Math"/>
                        <w:color w:val="000000" w:themeColor="text1"/>
                        <w:sz w:val="24"/>
                      </w:rPr>
                      <m:t>Δc</m:t>
                    </m:r>
                  </m:num>
                  <m:den>
                    <m:r>
                      <m:rPr>
                        <m:sty m:val="p"/>
                      </m:rPr>
                      <w:rPr>
                        <w:rFonts w:ascii="Cambria Math" w:hAnsi="Cambria Math"/>
                        <w:color w:val="000000" w:themeColor="text1"/>
                        <w:sz w:val="24"/>
                      </w:rPr>
                      <m:t>∂</m:t>
                    </m:r>
                    <m:bar>
                      <m:barPr>
                        <m:pos m:val="top"/>
                        <m:ctrlPr>
                          <w:rPr>
                            <w:rFonts w:ascii="Cambria Math" w:hAnsi="Cambria Math"/>
                            <w:color w:val="000000" w:themeColor="text1"/>
                            <w:sz w:val="24"/>
                          </w:rPr>
                        </m:ctrlPr>
                      </m:barPr>
                      <m:e>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si</m:t>
                            </m:r>
                          </m:sub>
                        </m:sSub>
                      </m:e>
                    </m:bar>
                  </m:den>
                </m:f>
                <m:r>
                  <m:rPr>
                    <m:sty m:val="p"/>
                  </m:rPr>
                  <w:rPr>
                    <w:rFonts w:ascii="Cambria Math" w:hAnsi="Cambria Math"/>
                    <w:color w:val="000000" w:themeColor="text1"/>
                    <w:sz w:val="24"/>
                  </w:rPr>
                  <m:t>=-1</m:t>
                </m:r>
              </m:oMath>
            </m:oMathPara>
          </w:p>
        </w:tc>
        <w:tc>
          <w:tcPr>
            <w:tcW w:w="1071" w:type="dxa"/>
          </w:tcPr>
          <w:p w14:paraId="18AE3626" w14:textId="77777777" w:rsidR="00821364" w:rsidRPr="008828EB" w:rsidRDefault="00821364" w:rsidP="00BF5D4A">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C.3)</w:t>
            </w:r>
          </w:p>
        </w:tc>
      </w:tr>
    </w:tbl>
    <w:p w14:paraId="766D52AE"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C.3 </w:t>
      </w:r>
      <w:r w:rsidRPr="008828EB">
        <w:rPr>
          <w:bCs/>
          <w:color w:val="000000" w:themeColor="text1"/>
          <w:sz w:val="24"/>
        </w:rPr>
        <w:t>不确定度来源分析</w:t>
      </w:r>
    </w:p>
    <w:p w14:paraId="5B09CB21"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C.3.1 </w:t>
      </w:r>
      <w:r w:rsidRPr="008828EB">
        <w:rPr>
          <w:bCs/>
          <w:color w:val="000000" w:themeColor="text1"/>
          <w:sz w:val="24"/>
        </w:rPr>
        <w:t>示值误差的不确定度来源主要有以下几个：</w:t>
      </w:r>
    </w:p>
    <w:p w14:paraId="21C29CD0" w14:textId="77777777" w:rsidR="00821364" w:rsidRPr="008828EB" w:rsidRDefault="00821364" w:rsidP="00821364">
      <w:pPr>
        <w:numPr>
          <w:ilvl w:val="0"/>
          <w:numId w:val="1"/>
        </w:numPr>
        <w:spacing w:line="360" w:lineRule="auto"/>
        <w:ind w:firstLineChars="200" w:firstLine="480"/>
        <w:rPr>
          <w:bCs/>
          <w:color w:val="000000" w:themeColor="text1"/>
          <w:sz w:val="24"/>
        </w:rPr>
      </w:pPr>
      <w:r w:rsidRPr="008828EB">
        <w:rPr>
          <w:bCs/>
          <w:color w:val="000000" w:themeColor="text1"/>
          <w:sz w:val="24"/>
        </w:rPr>
        <w:t>仪器示值重复性引入的标准不确定度</w:t>
      </w:r>
      <m:oMath>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oMath>
      <w:r w:rsidRPr="008828EB">
        <w:rPr>
          <w:bCs/>
          <w:color w:val="000000" w:themeColor="text1"/>
          <w:sz w:val="24"/>
        </w:rPr>
        <w:t>。人员操作、环境条件的影响和被校仪器的变动性影响体现在测量重复性中。</w:t>
      </w:r>
      <w:r w:rsidRPr="008828EB">
        <w:rPr>
          <w:bCs/>
          <w:color w:val="000000" w:themeColor="text1"/>
          <w:sz w:val="24"/>
        </w:rPr>
        <w:t xml:space="preserve"> </w:t>
      </w:r>
    </w:p>
    <w:p w14:paraId="420699A6"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b) </w:t>
      </w:r>
      <w:r w:rsidRPr="008828EB">
        <w:rPr>
          <w:bCs/>
          <w:color w:val="000000" w:themeColor="text1"/>
          <w:sz w:val="24"/>
        </w:rPr>
        <w:t>标准气体</w:t>
      </w:r>
      <w:r w:rsidRPr="008828EB">
        <w:rPr>
          <w:rFonts w:hint="eastAsia"/>
          <w:bCs/>
          <w:color w:val="000000" w:themeColor="text1"/>
          <w:sz w:val="24"/>
        </w:rPr>
        <w:t>的定值不确定度</w:t>
      </w:r>
      <w:r w:rsidRPr="008828EB">
        <w:rPr>
          <w:bCs/>
          <w:color w:val="000000" w:themeColor="text1"/>
          <w:sz w:val="24"/>
        </w:rPr>
        <w:t>引入的标准不确定度</w:t>
      </w:r>
      <w:r w:rsidRPr="008828EB">
        <w:rPr>
          <w:bCs/>
          <w:color w:val="000000" w:themeColor="text1"/>
          <w:sz w:val="24"/>
        </w:rPr>
        <w:t>u(c</w:t>
      </w:r>
      <w:r w:rsidRPr="008828EB">
        <w:rPr>
          <w:bCs/>
          <w:color w:val="000000" w:themeColor="text1"/>
          <w:sz w:val="24"/>
          <w:vertAlign w:val="subscript"/>
        </w:rPr>
        <w:t>s</w:t>
      </w:r>
      <w:r w:rsidRPr="008828EB">
        <w:rPr>
          <w:bCs/>
          <w:color w:val="000000" w:themeColor="text1"/>
          <w:sz w:val="24"/>
        </w:rPr>
        <w:t>)</w:t>
      </w:r>
      <w:r w:rsidRPr="008828EB">
        <w:rPr>
          <w:bCs/>
          <w:color w:val="000000" w:themeColor="text1"/>
          <w:sz w:val="24"/>
        </w:rPr>
        <w:t>。</w:t>
      </w:r>
    </w:p>
    <w:p w14:paraId="12415717"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C.4 </w:t>
      </w:r>
      <w:r w:rsidRPr="008828EB">
        <w:rPr>
          <w:bCs/>
          <w:color w:val="000000" w:themeColor="text1"/>
          <w:sz w:val="24"/>
        </w:rPr>
        <w:t>各输入量的标准不确定度评定</w:t>
      </w:r>
    </w:p>
    <w:p w14:paraId="6FB6C267" w14:textId="77777777" w:rsidR="00821364" w:rsidRPr="008828EB" w:rsidRDefault="00821364" w:rsidP="00821364">
      <w:pPr>
        <w:spacing w:line="360" w:lineRule="auto"/>
        <w:ind w:firstLineChars="200" w:firstLine="480"/>
        <w:outlineLvl w:val="0"/>
        <w:rPr>
          <w:bCs/>
          <w:color w:val="000000" w:themeColor="text1"/>
          <w:sz w:val="24"/>
        </w:rPr>
      </w:pPr>
      <w:bookmarkStart w:id="7" w:name="_Toc29491"/>
      <w:bookmarkStart w:id="8" w:name="_Toc135579283"/>
      <w:bookmarkStart w:id="9" w:name="_Toc5022"/>
      <w:bookmarkStart w:id="10" w:name="_Toc135581071"/>
      <w:bookmarkStart w:id="11" w:name="_Toc135578699"/>
      <w:bookmarkStart w:id="12" w:name="_Toc135582388"/>
      <w:bookmarkStart w:id="13" w:name="_Toc168498485"/>
      <w:r w:rsidRPr="008828EB">
        <w:rPr>
          <w:bCs/>
          <w:color w:val="000000" w:themeColor="text1"/>
          <w:sz w:val="24"/>
        </w:rPr>
        <w:t xml:space="preserve">C.4.1 </w:t>
      </w:r>
      <w:r w:rsidRPr="008828EB">
        <w:rPr>
          <w:bCs/>
          <w:color w:val="000000" w:themeColor="text1"/>
          <w:sz w:val="24"/>
        </w:rPr>
        <w:t>仪器示值重复性引入的标准不确定度分量</w:t>
      </w:r>
      <w:bookmarkEnd w:id="7"/>
      <w:bookmarkEnd w:id="8"/>
      <w:bookmarkEnd w:id="9"/>
      <w:bookmarkEnd w:id="10"/>
      <w:bookmarkEnd w:id="11"/>
      <w:bookmarkEnd w:id="12"/>
      <w:bookmarkEnd w:id="13"/>
    </w:p>
    <w:p w14:paraId="514CDA56"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lastRenderedPageBreak/>
        <w:t>选择非分散红外吸收分析仪、气相色谱分析仪，通入稀释后的气体标准物质（以</w:t>
      </w:r>
      <w:r w:rsidRPr="008828EB">
        <w:rPr>
          <w:bCs/>
          <w:color w:val="000000" w:themeColor="text1"/>
          <w:sz w:val="24"/>
        </w:rPr>
        <w:t>50%</w:t>
      </w:r>
      <w:r w:rsidRPr="008828EB">
        <w:rPr>
          <w:bCs/>
          <w:color w:val="000000" w:themeColor="text1"/>
          <w:sz w:val="24"/>
        </w:rPr>
        <w:t>工况测量量程为例），在同一条件下重复测量</w:t>
      </w:r>
      <w:r w:rsidRPr="008828EB">
        <w:rPr>
          <w:bCs/>
          <w:color w:val="000000" w:themeColor="text1"/>
          <w:sz w:val="24"/>
        </w:rPr>
        <w:t>10</w:t>
      </w:r>
      <w:r w:rsidRPr="008828EB">
        <w:rPr>
          <w:bCs/>
          <w:color w:val="000000" w:themeColor="text1"/>
          <w:sz w:val="24"/>
        </w:rPr>
        <w:t>次，得到测量数据列，根据贝塞尔公式的得到单次测量标准偏差，结果如表</w:t>
      </w:r>
      <w:r w:rsidRPr="008828EB">
        <w:rPr>
          <w:bCs/>
          <w:color w:val="000000" w:themeColor="text1"/>
          <w:sz w:val="24"/>
        </w:rPr>
        <w:t>B.1</w:t>
      </w:r>
      <w:r w:rsidRPr="008828EB">
        <w:rPr>
          <w:bCs/>
          <w:color w:val="000000" w:themeColor="text1"/>
          <w:sz w:val="24"/>
        </w:rPr>
        <w:t>所示。</w:t>
      </w:r>
    </w:p>
    <w:p w14:paraId="0C60E4E5" w14:textId="77777777" w:rsidR="00821364" w:rsidRPr="008828EB" w:rsidRDefault="00821364" w:rsidP="00821364">
      <w:pPr>
        <w:spacing w:line="360" w:lineRule="auto"/>
        <w:ind w:firstLine="480"/>
        <w:jc w:val="center"/>
        <w:rPr>
          <w:bCs/>
          <w:color w:val="000000" w:themeColor="text1"/>
          <w:sz w:val="24"/>
        </w:rPr>
      </w:pPr>
      <w:r w:rsidRPr="008828EB">
        <w:rPr>
          <w:bCs/>
          <w:color w:val="000000" w:themeColor="text1"/>
          <w:sz w:val="24"/>
        </w:rPr>
        <w:t xml:space="preserve">B.1 </w:t>
      </w:r>
      <w:r w:rsidRPr="008828EB">
        <w:rPr>
          <w:bCs/>
          <w:color w:val="000000" w:themeColor="text1"/>
          <w:sz w:val="24"/>
        </w:rPr>
        <w:t>单次测量标准偏差</w:t>
      </w:r>
    </w:p>
    <w:tbl>
      <w:tblPr>
        <w:tblStyle w:val="a7"/>
        <w:tblW w:w="0" w:type="auto"/>
        <w:jc w:val="center"/>
        <w:tblLook w:val="04A0" w:firstRow="1" w:lastRow="0" w:firstColumn="1" w:lastColumn="0" w:noHBand="0" w:noVBand="1"/>
      </w:tblPr>
      <w:tblGrid>
        <w:gridCol w:w="566"/>
        <w:gridCol w:w="645"/>
        <w:gridCol w:w="645"/>
        <w:gridCol w:w="644"/>
        <w:gridCol w:w="644"/>
        <w:gridCol w:w="644"/>
        <w:gridCol w:w="644"/>
        <w:gridCol w:w="644"/>
        <w:gridCol w:w="644"/>
        <w:gridCol w:w="644"/>
        <w:gridCol w:w="644"/>
        <w:gridCol w:w="644"/>
        <w:gridCol w:w="644"/>
      </w:tblGrid>
      <w:tr w:rsidR="007F0FF8" w:rsidRPr="008828EB" w14:paraId="4FE5960F" w14:textId="77777777" w:rsidTr="007F0FF8">
        <w:trPr>
          <w:jc w:val="center"/>
        </w:trPr>
        <w:tc>
          <w:tcPr>
            <w:tcW w:w="586" w:type="dxa"/>
            <w:vAlign w:val="center"/>
          </w:tcPr>
          <w:p w14:paraId="7C39DBE3" w14:textId="5CEAE3D4" w:rsidR="00821364" w:rsidRPr="008828EB" w:rsidRDefault="00821364" w:rsidP="00BF5D4A">
            <w:pPr>
              <w:jc w:val="center"/>
              <w:rPr>
                <w:bCs/>
                <w:color w:val="000000" w:themeColor="text1"/>
                <w:sz w:val="24"/>
              </w:rPr>
            </w:pPr>
            <w:bookmarkStart w:id="14" w:name="_Hlk168516433"/>
            <w:r w:rsidRPr="008828EB">
              <w:rPr>
                <w:bCs/>
                <w:color w:val="000000" w:themeColor="text1"/>
                <w:sz w:val="24"/>
              </w:rPr>
              <w:t>标准气体浓度值</w:t>
            </w:r>
            <w:r>
              <w:rPr>
                <w:rFonts w:hint="eastAsia"/>
                <w:bCs/>
                <w:color w:val="000000" w:themeColor="text1"/>
                <w:sz w:val="24"/>
              </w:rPr>
              <w:t>%</w:t>
            </w:r>
          </w:p>
        </w:tc>
        <w:tc>
          <w:tcPr>
            <w:tcW w:w="6619" w:type="dxa"/>
            <w:gridSpan w:val="10"/>
            <w:vAlign w:val="center"/>
          </w:tcPr>
          <w:p w14:paraId="52B5843B" w14:textId="3A3327FD" w:rsidR="00821364" w:rsidRPr="008828EB" w:rsidRDefault="00821364" w:rsidP="00BF5D4A">
            <w:pPr>
              <w:ind w:firstLine="480"/>
              <w:jc w:val="center"/>
              <w:rPr>
                <w:bCs/>
                <w:color w:val="000000" w:themeColor="text1"/>
                <w:sz w:val="24"/>
              </w:rPr>
            </w:pPr>
            <w:r w:rsidRPr="008828EB">
              <w:rPr>
                <w:bCs/>
                <w:color w:val="000000" w:themeColor="text1"/>
                <w:sz w:val="24"/>
              </w:rPr>
              <w:t>示值</w:t>
            </w:r>
            <w:r>
              <w:rPr>
                <w:rFonts w:hint="eastAsia"/>
                <w:bCs/>
                <w:color w:val="000000" w:themeColor="text1"/>
                <w:sz w:val="24"/>
              </w:rPr>
              <w:t>%</w:t>
            </w:r>
          </w:p>
        </w:tc>
        <w:tc>
          <w:tcPr>
            <w:tcW w:w="672" w:type="dxa"/>
            <w:vAlign w:val="center"/>
          </w:tcPr>
          <w:p w14:paraId="189EB383" w14:textId="77777777" w:rsidR="00821364" w:rsidRPr="008828EB" w:rsidRDefault="00821364" w:rsidP="00BF5D4A">
            <w:pPr>
              <w:jc w:val="center"/>
              <w:rPr>
                <w:bCs/>
                <w:color w:val="000000" w:themeColor="text1"/>
                <w:sz w:val="24"/>
              </w:rPr>
            </w:pPr>
            <w:r w:rsidRPr="008828EB">
              <w:rPr>
                <w:bCs/>
                <w:color w:val="000000" w:themeColor="text1"/>
                <w:sz w:val="24"/>
              </w:rPr>
              <w:t>平均值</w:t>
            </w:r>
          </w:p>
        </w:tc>
        <w:tc>
          <w:tcPr>
            <w:tcW w:w="419" w:type="dxa"/>
            <w:vAlign w:val="center"/>
          </w:tcPr>
          <w:p w14:paraId="1B596788" w14:textId="77777777" w:rsidR="00821364" w:rsidRPr="008828EB" w:rsidRDefault="00821364" w:rsidP="00BF5D4A">
            <w:pPr>
              <w:jc w:val="center"/>
              <w:rPr>
                <w:bCs/>
                <w:color w:val="000000" w:themeColor="text1"/>
                <w:sz w:val="24"/>
              </w:rPr>
            </w:pPr>
            <w:r w:rsidRPr="008828EB">
              <w:rPr>
                <w:bCs/>
                <w:color w:val="000000" w:themeColor="text1"/>
                <w:sz w:val="24"/>
              </w:rPr>
              <w:t>实验标准偏差</w:t>
            </w:r>
          </w:p>
        </w:tc>
      </w:tr>
      <w:tr w:rsidR="007F0FF8" w:rsidRPr="008828EB" w14:paraId="731A1F7D" w14:textId="77777777" w:rsidTr="007F0FF8">
        <w:trPr>
          <w:jc w:val="center"/>
        </w:trPr>
        <w:tc>
          <w:tcPr>
            <w:tcW w:w="586" w:type="dxa"/>
            <w:vAlign w:val="center"/>
          </w:tcPr>
          <w:p w14:paraId="35BAAC7E" w14:textId="5791E4EF" w:rsidR="00821364" w:rsidRPr="008828EB" w:rsidRDefault="00821364" w:rsidP="00821364">
            <w:pPr>
              <w:spacing w:line="360" w:lineRule="auto"/>
              <w:jc w:val="center"/>
              <w:rPr>
                <w:rFonts w:hint="eastAsia"/>
                <w:bCs/>
                <w:color w:val="000000" w:themeColor="text1"/>
                <w:sz w:val="24"/>
              </w:rPr>
            </w:pPr>
            <w:r>
              <w:rPr>
                <w:rFonts w:hint="eastAsia"/>
                <w:bCs/>
                <w:color w:val="000000" w:themeColor="text1"/>
                <w:sz w:val="24"/>
              </w:rPr>
              <w:t>2</w:t>
            </w:r>
          </w:p>
        </w:tc>
        <w:tc>
          <w:tcPr>
            <w:tcW w:w="672" w:type="dxa"/>
            <w:vAlign w:val="center"/>
          </w:tcPr>
          <w:p w14:paraId="55783EF4" w14:textId="3CFD4FCB" w:rsidR="00821364" w:rsidRPr="008828EB" w:rsidRDefault="00821364" w:rsidP="00821364">
            <w:pPr>
              <w:jc w:val="center"/>
              <w:rPr>
                <w:rFonts w:hint="eastAsia"/>
                <w:bCs/>
                <w:color w:val="000000" w:themeColor="text1"/>
                <w:sz w:val="24"/>
              </w:rPr>
            </w:pPr>
            <w:r>
              <w:rPr>
                <w:rFonts w:hint="eastAsia"/>
                <w:bCs/>
                <w:color w:val="000000" w:themeColor="text1"/>
                <w:sz w:val="24"/>
              </w:rPr>
              <w:t>2.01</w:t>
            </w:r>
          </w:p>
        </w:tc>
        <w:tc>
          <w:tcPr>
            <w:tcW w:w="672" w:type="dxa"/>
            <w:vAlign w:val="center"/>
          </w:tcPr>
          <w:p w14:paraId="0114070A" w14:textId="4EE84625"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785EA96D" w14:textId="70935E83" w:rsidR="00821364" w:rsidRPr="008828EB" w:rsidRDefault="00821364" w:rsidP="00821364">
            <w:pPr>
              <w:jc w:val="center"/>
              <w:rPr>
                <w:rFonts w:hint="eastAsia"/>
                <w:bCs/>
                <w:color w:val="000000" w:themeColor="text1"/>
                <w:sz w:val="24"/>
              </w:rPr>
            </w:pPr>
            <w:r>
              <w:rPr>
                <w:rFonts w:hint="eastAsia"/>
                <w:bCs/>
                <w:color w:val="000000" w:themeColor="text1"/>
                <w:sz w:val="24"/>
              </w:rPr>
              <w:t>2.01</w:t>
            </w:r>
          </w:p>
        </w:tc>
        <w:tc>
          <w:tcPr>
            <w:tcW w:w="672" w:type="dxa"/>
            <w:vAlign w:val="center"/>
          </w:tcPr>
          <w:p w14:paraId="6296AD89" w14:textId="7733B2FA" w:rsidR="00821364" w:rsidRPr="008828EB" w:rsidRDefault="00821364" w:rsidP="00821364">
            <w:pPr>
              <w:jc w:val="center"/>
              <w:rPr>
                <w:rFonts w:hint="eastAsia"/>
                <w:bCs/>
                <w:color w:val="000000" w:themeColor="text1"/>
                <w:sz w:val="24"/>
              </w:rPr>
            </w:pPr>
            <w:r>
              <w:rPr>
                <w:rFonts w:hint="eastAsia"/>
                <w:bCs/>
                <w:color w:val="000000" w:themeColor="text1"/>
                <w:sz w:val="24"/>
              </w:rPr>
              <w:t>2.01</w:t>
            </w:r>
          </w:p>
        </w:tc>
        <w:tc>
          <w:tcPr>
            <w:tcW w:w="672" w:type="dxa"/>
            <w:vAlign w:val="center"/>
          </w:tcPr>
          <w:p w14:paraId="498C5E93" w14:textId="502D24FA"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29150645" w14:textId="40CDCC27"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571" w:type="dxa"/>
            <w:vAlign w:val="center"/>
          </w:tcPr>
          <w:p w14:paraId="269E48E1" w14:textId="0A5FD9CA"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215EA1FA" w14:textId="0A147059"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4678BD2D" w14:textId="73F60475"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20FE3A85" w14:textId="7D016647"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672" w:type="dxa"/>
            <w:vAlign w:val="center"/>
          </w:tcPr>
          <w:p w14:paraId="5417CB9E" w14:textId="6952F5F3" w:rsidR="00821364" w:rsidRPr="008828EB" w:rsidRDefault="00821364" w:rsidP="00821364">
            <w:pPr>
              <w:jc w:val="center"/>
              <w:rPr>
                <w:rFonts w:hint="eastAsia"/>
                <w:bCs/>
                <w:color w:val="000000" w:themeColor="text1"/>
                <w:sz w:val="24"/>
              </w:rPr>
            </w:pPr>
            <w:r>
              <w:rPr>
                <w:rFonts w:hint="eastAsia"/>
                <w:bCs/>
                <w:color w:val="000000" w:themeColor="text1"/>
                <w:sz w:val="24"/>
              </w:rPr>
              <w:t>2.00</w:t>
            </w:r>
          </w:p>
        </w:tc>
        <w:tc>
          <w:tcPr>
            <w:tcW w:w="419" w:type="dxa"/>
            <w:vAlign w:val="center"/>
          </w:tcPr>
          <w:p w14:paraId="2FEB5B4B" w14:textId="07106FD7" w:rsidR="00821364" w:rsidRPr="008828EB" w:rsidRDefault="007F0FF8" w:rsidP="00821364">
            <w:pPr>
              <w:jc w:val="center"/>
              <w:rPr>
                <w:rFonts w:hint="eastAsia"/>
                <w:bCs/>
                <w:color w:val="000000" w:themeColor="text1"/>
                <w:sz w:val="24"/>
              </w:rPr>
            </w:pPr>
            <w:r>
              <w:rPr>
                <w:rFonts w:hint="eastAsia"/>
                <w:bCs/>
                <w:color w:val="000000" w:themeColor="text1"/>
                <w:sz w:val="24"/>
              </w:rPr>
              <w:t>0.002</w:t>
            </w:r>
          </w:p>
        </w:tc>
      </w:tr>
      <w:tr w:rsidR="007F0FF8" w:rsidRPr="008828EB" w14:paraId="23117526" w14:textId="77777777" w:rsidTr="007F0FF8">
        <w:trPr>
          <w:jc w:val="center"/>
        </w:trPr>
        <w:tc>
          <w:tcPr>
            <w:tcW w:w="586" w:type="dxa"/>
            <w:vAlign w:val="center"/>
          </w:tcPr>
          <w:p w14:paraId="73B04BEA" w14:textId="13087E5E" w:rsidR="00821364" w:rsidRPr="008828EB" w:rsidRDefault="00821364" w:rsidP="00821364">
            <w:pPr>
              <w:spacing w:line="360" w:lineRule="auto"/>
              <w:jc w:val="center"/>
              <w:rPr>
                <w:rFonts w:hint="eastAsia"/>
                <w:bCs/>
                <w:color w:val="000000" w:themeColor="text1"/>
                <w:sz w:val="24"/>
              </w:rPr>
            </w:pPr>
            <w:r>
              <w:rPr>
                <w:rFonts w:hint="eastAsia"/>
                <w:bCs/>
                <w:color w:val="000000" w:themeColor="text1"/>
                <w:sz w:val="24"/>
              </w:rPr>
              <w:t>6</w:t>
            </w:r>
          </w:p>
        </w:tc>
        <w:tc>
          <w:tcPr>
            <w:tcW w:w="672" w:type="dxa"/>
            <w:vAlign w:val="center"/>
          </w:tcPr>
          <w:p w14:paraId="4D5D57ED" w14:textId="47AB6CD9"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11030C1F" w14:textId="359EFF93" w:rsidR="00821364" w:rsidRPr="008828EB" w:rsidRDefault="007F0FF8" w:rsidP="00821364">
            <w:pPr>
              <w:jc w:val="center"/>
              <w:rPr>
                <w:rFonts w:hint="eastAsia"/>
                <w:bCs/>
                <w:color w:val="000000" w:themeColor="text1"/>
                <w:sz w:val="24"/>
              </w:rPr>
            </w:pPr>
            <w:r>
              <w:rPr>
                <w:rFonts w:hint="eastAsia"/>
                <w:bCs/>
                <w:color w:val="000000" w:themeColor="text1"/>
                <w:sz w:val="24"/>
              </w:rPr>
              <w:t>6.01</w:t>
            </w:r>
          </w:p>
        </w:tc>
        <w:tc>
          <w:tcPr>
            <w:tcW w:w="672" w:type="dxa"/>
            <w:vAlign w:val="center"/>
          </w:tcPr>
          <w:p w14:paraId="3CF4BFC1" w14:textId="4E27B497"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146D1553" w14:textId="7A61DEA4"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37D7CC32" w14:textId="61CDE9DB" w:rsidR="00821364" w:rsidRPr="008828EB" w:rsidRDefault="007F0FF8" w:rsidP="00821364">
            <w:pPr>
              <w:jc w:val="center"/>
              <w:rPr>
                <w:rFonts w:hint="eastAsia"/>
                <w:bCs/>
                <w:color w:val="000000" w:themeColor="text1"/>
                <w:sz w:val="24"/>
              </w:rPr>
            </w:pPr>
            <w:r>
              <w:rPr>
                <w:rFonts w:hint="eastAsia"/>
                <w:bCs/>
                <w:color w:val="000000" w:themeColor="text1"/>
                <w:sz w:val="24"/>
              </w:rPr>
              <w:t>6.01</w:t>
            </w:r>
          </w:p>
        </w:tc>
        <w:tc>
          <w:tcPr>
            <w:tcW w:w="672" w:type="dxa"/>
            <w:vAlign w:val="center"/>
          </w:tcPr>
          <w:p w14:paraId="6CC17919" w14:textId="79F7C751"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571" w:type="dxa"/>
            <w:vAlign w:val="center"/>
          </w:tcPr>
          <w:p w14:paraId="554F933D" w14:textId="56DC6217"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68D07F5F" w14:textId="1C2819DF" w:rsidR="00821364" w:rsidRPr="008828EB" w:rsidRDefault="007F0FF8" w:rsidP="00821364">
            <w:pPr>
              <w:jc w:val="center"/>
              <w:rPr>
                <w:rFonts w:hint="eastAsia"/>
                <w:bCs/>
                <w:color w:val="000000" w:themeColor="text1"/>
                <w:sz w:val="24"/>
              </w:rPr>
            </w:pPr>
            <w:r>
              <w:rPr>
                <w:rFonts w:hint="eastAsia"/>
                <w:bCs/>
                <w:color w:val="000000" w:themeColor="text1"/>
                <w:sz w:val="24"/>
              </w:rPr>
              <w:t>5.99</w:t>
            </w:r>
          </w:p>
        </w:tc>
        <w:tc>
          <w:tcPr>
            <w:tcW w:w="672" w:type="dxa"/>
            <w:vAlign w:val="center"/>
          </w:tcPr>
          <w:p w14:paraId="21B35527" w14:textId="24FA0585"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77D67362" w14:textId="358DF2CD"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672" w:type="dxa"/>
            <w:vAlign w:val="center"/>
          </w:tcPr>
          <w:p w14:paraId="79157BF9" w14:textId="7FC603E3" w:rsidR="00821364" w:rsidRPr="008828EB" w:rsidRDefault="007F0FF8" w:rsidP="00821364">
            <w:pPr>
              <w:jc w:val="center"/>
              <w:rPr>
                <w:rFonts w:hint="eastAsia"/>
                <w:bCs/>
                <w:color w:val="000000" w:themeColor="text1"/>
                <w:sz w:val="24"/>
              </w:rPr>
            </w:pPr>
            <w:r>
              <w:rPr>
                <w:rFonts w:hint="eastAsia"/>
                <w:bCs/>
                <w:color w:val="000000" w:themeColor="text1"/>
                <w:sz w:val="24"/>
              </w:rPr>
              <w:t>6.00</w:t>
            </w:r>
          </w:p>
        </w:tc>
        <w:tc>
          <w:tcPr>
            <w:tcW w:w="419" w:type="dxa"/>
            <w:vAlign w:val="center"/>
          </w:tcPr>
          <w:p w14:paraId="4841E596" w14:textId="266F91F0" w:rsidR="00821364" w:rsidRPr="008828EB" w:rsidRDefault="007F0FF8" w:rsidP="00821364">
            <w:pPr>
              <w:jc w:val="center"/>
              <w:rPr>
                <w:bCs/>
                <w:color w:val="000000" w:themeColor="text1"/>
                <w:sz w:val="24"/>
              </w:rPr>
            </w:pPr>
            <w:r>
              <w:rPr>
                <w:rFonts w:hint="eastAsia"/>
                <w:bCs/>
                <w:color w:val="000000" w:themeColor="text1"/>
                <w:sz w:val="24"/>
              </w:rPr>
              <w:t>0.002</w:t>
            </w:r>
          </w:p>
        </w:tc>
      </w:tr>
      <w:tr w:rsidR="007F0FF8" w:rsidRPr="008828EB" w14:paraId="4AB1439B" w14:textId="77777777" w:rsidTr="007F0FF8">
        <w:trPr>
          <w:jc w:val="center"/>
        </w:trPr>
        <w:tc>
          <w:tcPr>
            <w:tcW w:w="586" w:type="dxa"/>
            <w:vAlign w:val="center"/>
          </w:tcPr>
          <w:p w14:paraId="6607A53A" w14:textId="47E491F2" w:rsidR="00821364" w:rsidRPr="008828EB" w:rsidRDefault="00821364" w:rsidP="00821364">
            <w:pPr>
              <w:spacing w:line="360" w:lineRule="auto"/>
              <w:jc w:val="center"/>
              <w:rPr>
                <w:rFonts w:hint="eastAsia"/>
                <w:bCs/>
                <w:color w:val="000000" w:themeColor="text1"/>
                <w:sz w:val="24"/>
              </w:rPr>
            </w:pPr>
            <w:r>
              <w:rPr>
                <w:rFonts w:hint="eastAsia"/>
                <w:bCs/>
                <w:color w:val="000000" w:themeColor="text1"/>
                <w:sz w:val="24"/>
              </w:rPr>
              <w:t>10</w:t>
            </w:r>
          </w:p>
        </w:tc>
        <w:tc>
          <w:tcPr>
            <w:tcW w:w="672" w:type="dxa"/>
            <w:vAlign w:val="center"/>
          </w:tcPr>
          <w:p w14:paraId="4E5A928A" w14:textId="123A7ADC" w:rsidR="00821364" w:rsidRPr="008828EB" w:rsidRDefault="007F0FF8" w:rsidP="00821364">
            <w:pPr>
              <w:jc w:val="center"/>
              <w:rPr>
                <w:rFonts w:hint="eastAsia"/>
                <w:bCs/>
                <w:color w:val="000000" w:themeColor="text1"/>
                <w:sz w:val="24"/>
              </w:rPr>
            </w:pPr>
            <w:r>
              <w:rPr>
                <w:rFonts w:hint="eastAsia"/>
                <w:bCs/>
                <w:color w:val="000000" w:themeColor="text1"/>
                <w:sz w:val="24"/>
              </w:rPr>
              <w:t>10.00</w:t>
            </w:r>
          </w:p>
        </w:tc>
        <w:tc>
          <w:tcPr>
            <w:tcW w:w="672" w:type="dxa"/>
            <w:vAlign w:val="center"/>
          </w:tcPr>
          <w:p w14:paraId="03B48444" w14:textId="09663508" w:rsidR="00821364" w:rsidRPr="008828EB" w:rsidRDefault="007F0FF8" w:rsidP="00821364">
            <w:pPr>
              <w:jc w:val="center"/>
              <w:rPr>
                <w:bCs/>
                <w:color w:val="000000" w:themeColor="text1"/>
                <w:sz w:val="24"/>
              </w:rPr>
            </w:pPr>
            <w:r>
              <w:rPr>
                <w:rFonts w:hint="eastAsia"/>
                <w:bCs/>
                <w:color w:val="000000" w:themeColor="text1"/>
                <w:sz w:val="24"/>
              </w:rPr>
              <w:t>10.0</w:t>
            </w:r>
            <w:r>
              <w:rPr>
                <w:rFonts w:hint="eastAsia"/>
                <w:bCs/>
                <w:color w:val="000000" w:themeColor="text1"/>
                <w:sz w:val="24"/>
              </w:rPr>
              <w:t>1</w:t>
            </w:r>
          </w:p>
        </w:tc>
        <w:tc>
          <w:tcPr>
            <w:tcW w:w="672" w:type="dxa"/>
            <w:vAlign w:val="center"/>
          </w:tcPr>
          <w:p w14:paraId="3F42C6CC" w14:textId="22992BA1" w:rsidR="00821364" w:rsidRPr="008828EB" w:rsidRDefault="007F0FF8" w:rsidP="00821364">
            <w:pPr>
              <w:jc w:val="center"/>
              <w:rPr>
                <w:bCs/>
                <w:color w:val="000000" w:themeColor="text1"/>
                <w:sz w:val="24"/>
              </w:rPr>
            </w:pPr>
            <w:r>
              <w:rPr>
                <w:rFonts w:hint="eastAsia"/>
                <w:bCs/>
                <w:color w:val="000000" w:themeColor="text1"/>
                <w:sz w:val="24"/>
              </w:rPr>
              <w:t>10.00</w:t>
            </w:r>
          </w:p>
        </w:tc>
        <w:tc>
          <w:tcPr>
            <w:tcW w:w="672" w:type="dxa"/>
            <w:vAlign w:val="center"/>
          </w:tcPr>
          <w:p w14:paraId="7FD14C62" w14:textId="61D79ED2" w:rsidR="00821364" w:rsidRPr="008828EB" w:rsidRDefault="007F0FF8" w:rsidP="00821364">
            <w:pPr>
              <w:jc w:val="center"/>
              <w:rPr>
                <w:bCs/>
                <w:color w:val="000000" w:themeColor="text1"/>
                <w:sz w:val="24"/>
              </w:rPr>
            </w:pPr>
            <w:r>
              <w:rPr>
                <w:rFonts w:hint="eastAsia"/>
                <w:bCs/>
                <w:color w:val="000000" w:themeColor="text1"/>
                <w:sz w:val="24"/>
              </w:rPr>
              <w:t>10.0</w:t>
            </w:r>
            <w:r>
              <w:rPr>
                <w:rFonts w:hint="eastAsia"/>
                <w:bCs/>
                <w:color w:val="000000" w:themeColor="text1"/>
                <w:sz w:val="24"/>
              </w:rPr>
              <w:t>1</w:t>
            </w:r>
          </w:p>
        </w:tc>
        <w:tc>
          <w:tcPr>
            <w:tcW w:w="672" w:type="dxa"/>
            <w:vAlign w:val="center"/>
          </w:tcPr>
          <w:p w14:paraId="1B6C485C" w14:textId="42E91F46" w:rsidR="00821364" w:rsidRPr="008828EB" w:rsidRDefault="007F0FF8" w:rsidP="00821364">
            <w:pPr>
              <w:jc w:val="center"/>
              <w:rPr>
                <w:bCs/>
                <w:color w:val="000000" w:themeColor="text1"/>
                <w:sz w:val="24"/>
              </w:rPr>
            </w:pPr>
            <w:r>
              <w:rPr>
                <w:rFonts w:hint="eastAsia"/>
                <w:bCs/>
                <w:color w:val="000000" w:themeColor="text1"/>
                <w:sz w:val="24"/>
              </w:rPr>
              <w:t>10.00</w:t>
            </w:r>
          </w:p>
        </w:tc>
        <w:tc>
          <w:tcPr>
            <w:tcW w:w="672" w:type="dxa"/>
            <w:vAlign w:val="center"/>
          </w:tcPr>
          <w:p w14:paraId="2420B589" w14:textId="046195B4" w:rsidR="00821364" w:rsidRPr="008828EB" w:rsidRDefault="007F0FF8" w:rsidP="00821364">
            <w:pPr>
              <w:jc w:val="center"/>
              <w:rPr>
                <w:bCs/>
                <w:color w:val="000000" w:themeColor="text1"/>
                <w:sz w:val="24"/>
              </w:rPr>
            </w:pPr>
            <w:r>
              <w:rPr>
                <w:rFonts w:hint="eastAsia"/>
                <w:bCs/>
                <w:color w:val="000000" w:themeColor="text1"/>
                <w:sz w:val="24"/>
              </w:rPr>
              <w:t>10.00</w:t>
            </w:r>
          </w:p>
        </w:tc>
        <w:tc>
          <w:tcPr>
            <w:tcW w:w="571" w:type="dxa"/>
            <w:vAlign w:val="center"/>
          </w:tcPr>
          <w:p w14:paraId="15E10085" w14:textId="347670D3" w:rsidR="00821364" w:rsidRPr="008828EB" w:rsidRDefault="007F0FF8" w:rsidP="00821364">
            <w:pPr>
              <w:jc w:val="center"/>
              <w:rPr>
                <w:rFonts w:hint="eastAsia"/>
                <w:bCs/>
                <w:color w:val="000000" w:themeColor="text1"/>
                <w:sz w:val="24"/>
              </w:rPr>
            </w:pPr>
            <w:r>
              <w:rPr>
                <w:rFonts w:hint="eastAsia"/>
                <w:bCs/>
                <w:color w:val="000000" w:themeColor="text1"/>
                <w:sz w:val="24"/>
              </w:rPr>
              <w:t>9.99</w:t>
            </w:r>
          </w:p>
        </w:tc>
        <w:tc>
          <w:tcPr>
            <w:tcW w:w="672" w:type="dxa"/>
            <w:vAlign w:val="center"/>
          </w:tcPr>
          <w:p w14:paraId="73DDA72F" w14:textId="010F62B9" w:rsidR="00821364" w:rsidRPr="008828EB" w:rsidRDefault="007F0FF8" w:rsidP="00821364">
            <w:pPr>
              <w:jc w:val="center"/>
              <w:rPr>
                <w:bCs/>
                <w:color w:val="000000" w:themeColor="text1"/>
                <w:sz w:val="24"/>
              </w:rPr>
            </w:pPr>
            <w:r>
              <w:rPr>
                <w:rFonts w:hint="eastAsia"/>
                <w:bCs/>
                <w:color w:val="000000" w:themeColor="text1"/>
                <w:sz w:val="24"/>
              </w:rPr>
              <w:t>10.00</w:t>
            </w:r>
          </w:p>
        </w:tc>
        <w:tc>
          <w:tcPr>
            <w:tcW w:w="672" w:type="dxa"/>
            <w:vAlign w:val="center"/>
          </w:tcPr>
          <w:p w14:paraId="1963B11C" w14:textId="464B0A94" w:rsidR="00821364" w:rsidRPr="008828EB" w:rsidRDefault="007F0FF8" w:rsidP="00821364">
            <w:pPr>
              <w:jc w:val="center"/>
              <w:rPr>
                <w:bCs/>
                <w:color w:val="000000" w:themeColor="text1"/>
                <w:sz w:val="24"/>
              </w:rPr>
            </w:pPr>
            <w:r>
              <w:rPr>
                <w:rFonts w:hint="eastAsia"/>
                <w:bCs/>
                <w:color w:val="000000" w:themeColor="text1"/>
                <w:sz w:val="24"/>
              </w:rPr>
              <w:t>10.00</w:t>
            </w:r>
          </w:p>
        </w:tc>
        <w:tc>
          <w:tcPr>
            <w:tcW w:w="672" w:type="dxa"/>
            <w:vAlign w:val="center"/>
          </w:tcPr>
          <w:p w14:paraId="208E3C8A" w14:textId="47E1B286" w:rsidR="00821364" w:rsidRPr="008828EB" w:rsidRDefault="007F0FF8" w:rsidP="00821364">
            <w:pPr>
              <w:jc w:val="center"/>
              <w:rPr>
                <w:bCs/>
                <w:color w:val="000000" w:themeColor="text1"/>
                <w:sz w:val="24"/>
              </w:rPr>
            </w:pPr>
            <w:r>
              <w:rPr>
                <w:rFonts w:hint="eastAsia"/>
                <w:bCs/>
                <w:color w:val="000000" w:themeColor="text1"/>
                <w:sz w:val="24"/>
              </w:rPr>
              <w:t>10.00</w:t>
            </w:r>
          </w:p>
        </w:tc>
        <w:tc>
          <w:tcPr>
            <w:tcW w:w="672" w:type="dxa"/>
            <w:vAlign w:val="center"/>
          </w:tcPr>
          <w:p w14:paraId="0BB54AE9" w14:textId="388A8D0E" w:rsidR="00821364" w:rsidRPr="008828EB" w:rsidRDefault="007F0FF8" w:rsidP="00821364">
            <w:pPr>
              <w:jc w:val="center"/>
              <w:rPr>
                <w:bCs/>
                <w:color w:val="000000" w:themeColor="text1"/>
                <w:sz w:val="24"/>
              </w:rPr>
            </w:pPr>
            <w:r>
              <w:rPr>
                <w:rFonts w:hint="eastAsia"/>
                <w:bCs/>
                <w:color w:val="000000" w:themeColor="text1"/>
                <w:sz w:val="24"/>
              </w:rPr>
              <w:t>10.00</w:t>
            </w:r>
          </w:p>
        </w:tc>
        <w:tc>
          <w:tcPr>
            <w:tcW w:w="419" w:type="dxa"/>
            <w:vAlign w:val="center"/>
          </w:tcPr>
          <w:p w14:paraId="450778C7" w14:textId="213E6AFF" w:rsidR="00821364" w:rsidRPr="008828EB" w:rsidRDefault="007F0FF8" w:rsidP="00821364">
            <w:pPr>
              <w:jc w:val="center"/>
              <w:rPr>
                <w:bCs/>
                <w:color w:val="000000" w:themeColor="text1"/>
                <w:sz w:val="24"/>
              </w:rPr>
            </w:pPr>
            <w:r>
              <w:rPr>
                <w:rFonts w:hint="eastAsia"/>
                <w:bCs/>
                <w:color w:val="000000" w:themeColor="text1"/>
                <w:sz w:val="24"/>
              </w:rPr>
              <w:t>0.002</w:t>
            </w:r>
          </w:p>
        </w:tc>
      </w:tr>
      <w:tr w:rsidR="007F0FF8" w:rsidRPr="008828EB" w14:paraId="67724BB4" w14:textId="77777777" w:rsidTr="007F0FF8">
        <w:trPr>
          <w:jc w:val="center"/>
        </w:trPr>
        <w:tc>
          <w:tcPr>
            <w:tcW w:w="586" w:type="dxa"/>
            <w:vAlign w:val="center"/>
          </w:tcPr>
          <w:p w14:paraId="55C14055" w14:textId="26BFDACA" w:rsidR="007F0FF8" w:rsidRPr="008828EB" w:rsidRDefault="007F0FF8" w:rsidP="007F0FF8">
            <w:pPr>
              <w:spacing w:line="360" w:lineRule="auto"/>
              <w:jc w:val="center"/>
              <w:rPr>
                <w:rFonts w:hint="eastAsia"/>
                <w:bCs/>
                <w:color w:val="000000" w:themeColor="text1"/>
                <w:sz w:val="24"/>
              </w:rPr>
            </w:pPr>
            <w:r>
              <w:rPr>
                <w:rFonts w:hint="eastAsia"/>
                <w:bCs/>
                <w:color w:val="000000" w:themeColor="text1"/>
                <w:sz w:val="24"/>
              </w:rPr>
              <w:t>16</w:t>
            </w:r>
          </w:p>
        </w:tc>
        <w:tc>
          <w:tcPr>
            <w:tcW w:w="672" w:type="dxa"/>
            <w:vAlign w:val="center"/>
          </w:tcPr>
          <w:p w14:paraId="71CDEED8" w14:textId="301A8DF1" w:rsidR="007F0FF8" w:rsidRPr="008828EB" w:rsidRDefault="007F0FF8" w:rsidP="007F0FF8">
            <w:pPr>
              <w:jc w:val="center"/>
              <w:rPr>
                <w:rFonts w:hint="eastAsia"/>
                <w:bCs/>
                <w:color w:val="000000" w:themeColor="text1"/>
                <w:sz w:val="24"/>
              </w:rPr>
            </w:pPr>
            <w:r>
              <w:rPr>
                <w:rFonts w:hint="eastAsia"/>
                <w:bCs/>
                <w:color w:val="000000" w:themeColor="text1"/>
                <w:sz w:val="24"/>
              </w:rPr>
              <w:t>16.00</w:t>
            </w:r>
          </w:p>
        </w:tc>
        <w:tc>
          <w:tcPr>
            <w:tcW w:w="672" w:type="dxa"/>
            <w:vAlign w:val="center"/>
          </w:tcPr>
          <w:p w14:paraId="0450B8E0" w14:textId="7678FBA4" w:rsidR="007F0FF8" w:rsidRPr="008828EB" w:rsidRDefault="007F0FF8" w:rsidP="007F0FF8">
            <w:pPr>
              <w:jc w:val="center"/>
              <w:rPr>
                <w:rFonts w:hint="eastAsia"/>
                <w:bCs/>
                <w:color w:val="000000" w:themeColor="text1"/>
                <w:sz w:val="24"/>
              </w:rPr>
            </w:pPr>
            <w:r>
              <w:rPr>
                <w:rFonts w:hint="eastAsia"/>
                <w:bCs/>
                <w:color w:val="000000" w:themeColor="text1"/>
                <w:sz w:val="24"/>
              </w:rPr>
              <w:t>16.00</w:t>
            </w:r>
          </w:p>
        </w:tc>
        <w:tc>
          <w:tcPr>
            <w:tcW w:w="672" w:type="dxa"/>
            <w:vAlign w:val="center"/>
          </w:tcPr>
          <w:p w14:paraId="27D12C23" w14:textId="4E38640F" w:rsidR="007F0FF8" w:rsidRPr="008828EB" w:rsidRDefault="007F0FF8" w:rsidP="007F0FF8">
            <w:pPr>
              <w:jc w:val="center"/>
              <w:rPr>
                <w:rFonts w:hint="eastAsia"/>
                <w:bCs/>
                <w:color w:val="000000" w:themeColor="text1"/>
                <w:sz w:val="24"/>
              </w:rPr>
            </w:pPr>
            <w:r>
              <w:rPr>
                <w:rFonts w:hint="eastAsia"/>
                <w:bCs/>
                <w:color w:val="000000" w:themeColor="text1"/>
                <w:sz w:val="24"/>
              </w:rPr>
              <w:t>16.00</w:t>
            </w:r>
          </w:p>
        </w:tc>
        <w:tc>
          <w:tcPr>
            <w:tcW w:w="672" w:type="dxa"/>
            <w:vAlign w:val="center"/>
          </w:tcPr>
          <w:p w14:paraId="1E970E7D" w14:textId="0319B960" w:rsidR="007F0FF8" w:rsidRPr="008828EB" w:rsidRDefault="007F0FF8" w:rsidP="007F0FF8">
            <w:pPr>
              <w:jc w:val="center"/>
              <w:rPr>
                <w:rFonts w:hint="eastAsia"/>
                <w:bCs/>
                <w:color w:val="000000" w:themeColor="text1"/>
                <w:sz w:val="24"/>
              </w:rPr>
            </w:pPr>
            <w:r>
              <w:rPr>
                <w:rFonts w:hint="eastAsia"/>
                <w:bCs/>
                <w:color w:val="000000" w:themeColor="text1"/>
                <w:sz w:val="24"/>
              </w:rPr>
              <w:t>16.01</w:t>
            </w:r>
          </w:p>
        </w:tc>
        <w:tc>
          <w:tcPr>
            <w:tcW w:w="672" w:type="dxa"/>
            <w:vAlign w:val="center"/>
          </w:tcPr>
          <w:p w14:paraId="241387BC" w14:textId="7CD55C05" w:rsidR="007F0FF8" w:rsidRPr="008828EB" w:rsidRDefault="007F0FF8" w:rsidP="007F0FF8">
            <w:pPr>
              <w:jc w:val="center"/>
              <w:rPr>
                <w:rFonts w:hint="eastAsia"/>
                <w:bCs/>
                <w:color w:val="000000" w:themeColor="text1"/>
                <w:sz w:val="24"/>
              </w:rPr>
            </w:pPr>
            <w:r>
              <w:rPr>
                <w:rFonts w:hint="eastAsia"/>
                <w:bCs/>
                <w:color w:val="000000" w:themeColor="text1"/>
                <w:sz w:val="24"/>
              </w:rPr>
              <w:t>16.00</w:t>
            </w:r>
          </w:p>
        </w:tc>
        <w:tc>
          <w:tcPr>
            <w:tcW w:w="672" w:type="dxa"/>
            <w:vAlign w:val="center"/>
          </w:tcPr>
          <w:p w14:paraId="1C4B053A" w14:textId="5F2E050B" w:rsidR="007F0FF8" w:rsidRPr="008828EB" w:rsidRDefault="007F0FF8" w:rsidP="007F0FF8">
            <w:pPr>
              <w:jc w:val="center"/>
              <w:rPr>
                <w:bCs/>
                <w:color w:val="000000" w:themeColor="text1"/>
                <w:sz w:val="24"/>
              </w:rPr>
            </w:pPr>
            <w:r>
              <w:rPr>
                <w:rFonts w:hint="eastAsia"/>
                <w:bCs/>
                <w:color w:val="000000" w:themeColor="text1"/>
                <w:sz w:val="24"/>
              </w:rPr>
              <w:t>16.00</w:t>
            </w:r>
          </w:p>
        </w:tc>
        <w:tc>
          <w:tcPr>
            <w:tcW w:w="571" w:type="dxa"/>
            <w:vAlign w:val="center"/>
          </w:tcPr>
          <w:p w14:paraId="051431F4" w14:textId="245973E3" w:rsidR="007F0FF8" w:rsidRPr="008828EB" w:rsidRDefault="007F0FF8" w:rsidP="007F0FF8">
            <w:pPr>
              <w:jc w:val="center"/>
              <w:rPr>
                <w:rFonts w:hint="eastAsia"/>
                <w:bCs/>
                <w:color w:val="000000" w:themeColor="text1"/>
                <w:sz w:val="24"/>
              </w:rPr>
            </w:pPr>
            <w:r>
              <w:rPr>
                <w:rFonts w:hint="eastAsia"/>
                <w:bCs/>
                <w:color w:val="000000" w:themeColor="text1"/>
                <w:sz w:val="24"/>
              </w:rPr>
              <w:t>15.99</w:t>
            </w:r>
          </w:p>
        </w:tc>
        <w:tc>
          <w:tcPr>
            <w:tcW w:w="672" w:type="dxa"/>
            <w:vAlign w:val="center"/>
          </w:tcPr>
          <w:p w14:paraId="72CD13BC" w14:textId="0703E912" w:rsidR="007F0FF8" w:rsidRPr="008828EB" w:rsidRDefault="007F0FF8" w:rsidP="007F0FF8">
            <w:pPr>
              <w:jc w:val="center"/>
              <w:rPr>
                <w:bCs/>
                <w:color w:val="000000" w:themeColor="text1"/>
                <w:sz w:val="24"/>
              </w:rPr>
            </w:pPr>
            <w:r>
              <w:rPr>
                <w:rFonts w:hint="eastAsia"/>
                <w:bCs/>
                <w:color w:val="000000" w:themeColor="text1"/>
                <w:sz w:val="24"/>
              </w:rPr>
              <w:t>16.00</w:t>
            </w:r>
          </w:p>
        </w:tc>
        <w:tc>
          <w:tcPr>
            <w:tcW w:w="672" w:type="dxa"/>
            <w:vAlign w:val="center"/>
          </w:tcPr>
          <w:p w14:paraId="407B190B" w14:textId="3C111A27" w:rsidR="007F0FF8" w:rsidRPr="008828EB" w:rsidRDefault="007F0FF8" w:rsidP="007F0FF8">
            <w:pPr>
              <w:jc w:val="center"/>
              <w:rPr>
                <w:bCs/>
                <w:color w:val="000000" w:themeColor="text1"/>
                <w:sz w:val="24"/>
              </w:rPr>
            </w:pPr>
            <w:r>
              <w:rPr>
                <w:rFonts w:hint="eastAsia"/>
                <w:bCs/>
                <w:color w:val="000000" w:themeColor="text1"/>
                <w:sz w:val="24"/>
              </w:rPr>
              <w:t>16.00</w:t>
            </w:r>
          </w:p>
        </w:tc>
        <w:tc>
          <w:tcPr>
            <w:tcW w:w="672" w:type="dxa"/>
            <w:vAlign w:val="center"/>
          </w:tcPr>
          <w:p w14:paraId="4D7C9DAD" w14:textId="77251000" w:rsidR="007F0FF8" w:rsidRPr="008828EB" w:rsidRDefault="007F0FF8" w:rsidP="007F0FF8">
            <w:pPr>
              <w:jc w:val="center"/>
              <w:rPr>
                <w:bCs/>
                <w:color w:val="000000" w:themeColor="text1"/>
                <w:sz w:val="24"/>
              </w:rPr>
            </w:pPr>
            <w:r>
              <w:rPr>
                <w:rFonts w:hint="eastAsia"/>
                <w:bCs/>
                <w:color w:val="000000" w:themeColor="text1"/>
                <w:sz w:val="24"/>
              </w:rPr>
              <w:t>16.00</w:t>
            </w:r>
          </w:p>
        </w:tc>
        <w:tc>
          <w:tcPr>
            <w:tcW w:w="672" w:type="dxa"/>
            <w:vAlign w:val="center"/>
          </w:tcPr>
          <w:p w14:paraId="40B9D827" w14:textId="63E3B4ED" w:rsidR="007F0FF8" w:rsidRPr="008828EB" w:rsidRDefault="007F0FF8" w:rsidP="007F0FF8">
            <w:pPr>
              <w:jc w:val="center"/>
              <w:rPr>
                <w:bCs/>
                <w:color w:val="000000" w:themeColor="text1"/>
                <w:sz w:val="24"/>
              </w:rPr>
            </w:pPr>
            <w:r>
              <w:rPr>
                <w:rFonts w:hint="eastAsia"/>
                <w:bCs/>
                <w:color w:val="000000" w:themeColor="text1"/>
                <w:sz w:val="24"/>
              </w:rPr>
              <w:t>16.00</w:t>
            </w:r>
          </w:p>
        </w:tc>
        <w:tc>
          <w:tcPr>
            <w:tcW w:w="419" w:type="dxa"/>
            <w:vAlign w:val="center"/>
          </w:tcPr>
          <w:p w14:paraId="34A635FF" w14:textId="729B8510" w:rsidR="007F0FF8" w:rsidRPr="008828EB" w:rsidRDefault="007F0FF8" w:rsidP="007F0FF8">
            <w:pPr>
              <w:jc w:val="center"/>
              <w:rPr>
                <w:bCs/>
                <w:color w:val="000000" w:themeColor="text1"/>
                <w:sz w:val="24"/>
              </w:rPr>
            </w:pPr>
            <w:r>
              <w:rPr>
                <w:rFonts w:hint="eastAsia"/>
                <w:bCs/>
                <w:color w:val="000000" w:themeColor="text1"/>
                <w:sz w:val="24"/>
              </w:rPr>
              <w:t>0.002</w:t>
            </w:r>
          </w:p>
        </w:tc>
      </w:tr>
    </w:tbl>
    <w:bookmarkEnd w:id="14"/>
    <w:p w14:paraId="26CF30F4" w14:textId="16DA52C8"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由测量重复性引入的标准不确定度为：</w:t>
      </w:r>
      <w:r w:rsidR="007F0FF8">
        <w:rPr>
          <w:rFonts w:hint="eastAsia"/>
          <w:bCs/>
          <w:color w:val="000000" w:themeColor="text1"/>
          <w:sz w:val="24"/>
        </w:rPr>
        <w:t>2</w:t>
      </w:r>
      <w:r w:rsidR="007F0FF8">
        <w:rPr>
          <w:rFonts w:hint="eastAsia"/>
          <w:bCs/>
          <w:color w:val="000000" w:themeColor="text1"/>
          <w:sz w:val="24"/>
        </w:rPr>
        <w:t>%</w:t>
      </w:r>
    </w:p>
    <w:p w14:paraId="7595BE14"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C.4.2 </w:t>
      </w:r>
      <w:r w:rsidRPr="008828EB">
        <w:rPr>
          <w:bCs/>
          <w:color w:val="000000" w:themeColor="text1"/>
          <w:sz w:val="24"/>
        </w:rPr>
        <w:t>测量标准即标准气体的定值不确定度引入的标准不确定度分量</w:t>
      </w:r>
    </w:p>
    <w:p w14:paraId="0CAA0360"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根据校准规范，稀释后的标准气体相对扩展不确定度不大于</w:t>
      </w:r>
      <w:r w:rsidRPr="008828EB">
        <w:rPr>
          <w:bCs/>
          <w:color w:val="000000" w:themeColor="text1"/>
          <w:sz w:val="24"/>
        </w:rPr>
        <w:t>3%</w:t>
      </w:r>
      <w:r w:rsidRPr="008828EB">
        <w:rPr>
          <w:bCs/>
          <w:color w:val="000000" w:themeColor="text1"/>
          <w:sz w:val="24"/>
        </w:rPr>
        <w:t>，</w:t>
      </w:r>
      <w:r w:rsidRPr="008828EB">
        <w:rPr>
          <w:bCs/>
          <w:i/>
          <w:iCs/>
          <w:color w:val="000000" w:themeColor="text1"/>
          <w:sz w:val="24"/>
        </w:rPr>
        <w:t>k</w:t>
      </w:r>
      <w:r w:rsidRPr="008828EB">
        <w:rPr>
          <w:bCs/>
          <w:color w:val="000000" w:themeColor="text1"/>
          <w:sz w:val="24"/>
        </w:rPr>
        <w:t>=2</w:t>
      </w:r>
      <w:r w:rsidRPr="008828EB">
        <w:rPr>
          <w:bCs/>
          <w:color w:val="000000" w:themeColor="text1"/>
          <w:sz w:val="24"/>
        </w:rPr>
        <w:t>，则相对标准不确定度分别为：</w:t>
      </w:r>
      <w:proofErr w:type="spellStart"/>
      <w:r w:rsidRPr="008828EB">
        <w:rPr>
          <w:bCs/>
          <w:color w:val="000000" w:themeColor="text1"/>
          <w:sz w:val="24"/>
        </w:rPr>
        <w:t>u</w:t>
      </w:r>
      <w:r w:rsidRPr="008828EB">
        <w:rPr>
          <w:bCs/>
          <w:color w:val="000000" w:themeColor="text1"/>
          <w:sz w:val="24"/>
          <w:vertAlign w:val="subscript"/>
        </w:rPr>
        <w:t>rel</w:t>
      </w:r>
      <w:proofErr w:type="spellEnd"/>
      <w:r w:rsidRPr="008828EB">
        <w:rPr>
          <w:bCs/>
          <w:color w:val="000000" w:themeColor="text1"/>
          <w:sz w:val="24"/>
        </w:rPr>
        <w:t>（</w:t>
      </w:r>
      <w:r w:rsidRPr="008828EB">
        <w:rPr>
          <w:bCs/>
          <w:color w:val="000000" w:themeColor="text1"/>
          <w:sz w:val="24"/>
        </w:rPr>
        <w:t>Csi-CO</w:t>
      </w:r>
      <w:r w:rsidRPr="008828EB">
        <w:rPr>
          <w:bCs/>
          <w:color w:val="000000" w:themeColor="text1"/>
          <w:sz w:val="24"/>
          <w:vertAlign w:val="subscript"/>
        </w:rPr>
        <w:t>2</w:t>
      </w:r>
      <w:r w:rsidRPr="008828EB">
        <w:rPr>
          <w:bCs/>
          <w:color w:val="000000" w:themeColor="text1"/>
          <w:sz w:val="24"/>
        </w:rPr>
        <w:t>）</w:t>
      </w:r>
      <w:r w:rsidRPr="008828EB">
        <w:rPr>
          <w:bCs/>
          <w:color w:val="000000" w:themeColor="text1"/>
          <w:sz w:val="24"/>
        </w:rPr>
        <w:t>=1.5%;</w:t>
      </w:r>
    </w:p>
    <w:p w14:paraId="715021F5"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以</w:t>
      </w:r>
      <w:r w:rsidRPr="008828EB">
        <w:rPr>
          <w:bCs/>
          <w:color w:val="000000" w:themeColor="text1"/>
          <w:sz w:val="24"/>
        </w:rPr>
        <w:t>50%</w:t>
      </w:r>
      <w:r w:rsidRPr="008828EB">
        <w:rPr>
          <w:bCs/>
          <w:color w:val="000000" w:themeColor="text1"/>
          <w:sz w:val="24"/>
        </w:rPr>
        <w:t>工况测量量程为例，标准气体浓度值分别为</w:t>
      </w:r>
      <w:r w:rsidRPr="008828EB">
        <w:rPr>
          <w:bCs/>
          <w:color w:val="000000" w:themeColor="text1"/>
          <w:sz w:val="24"/>
        </w:rPr>
        <w:t>CO</w:t>
      </w:r>
      <w:r w:rsidRPr="008828EB">
        <w:rPr>
          <w:bCs/>
          <w:color w:val="000000" w:themeColor="text1"/>
          <w:sz w:val="24"/>
          <w:vertAlign w:val="subscript"/>
        </w:rPr>
        <w:t>2</w:t>
      </w:r>
      <w:r w:rsidRPr="008828EB">
        <w:rPr>
          <w:bCs/>
          <w:color w:val="000000" w:themeColor="text1"/>
          <w:sz w:val="24"/>
        </w:rPr>
        <w:t>:</w:t>
      </w:r>
    </w:p>
    <w:p w14:paraId="2A33BB07"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C.5 </w:t>
      </w:r>
      <w:r w:rsidRPr="008828EB">
        <w:rPr>
          <w:bCs/>
          <w:color w:val="000000" w:themeColor="text1"/>
          <w:sz w:val="24"/>
        </w:rPr>
        <w:t>合成标准不确定度</w:t>
      </w:r>
    </w:p>
    <w:p w14:paraId="1D9ABB4F"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标准不确定度分量汇总表见表</w:t>
      </w:r>
      <w:r w:rsidRPr="008828EB">
        <w:rPr>
          <w:bCs/>
          <w:color w:val="000000" w:themeColor="text1"/>
          <w:sz w:val="24"/>
        </w:rPr>
        <w:t>C.2</w:t>
      </w:r>
    </w:p>
    <w:p w14:paraId="54108F47" w14:textId="77777777" w:rsidR="00821364" w:rsidRPr="008828EB" w:rsidRDefault="00821364" w:rsidP="00821364">
      <w:pPr>
        <w:spacing w:line="360" w:lineRule="auto"/>
        <w:ind w:firstLine="480"/>
        <w:jc w:val="center"/>
        <w:rPr>
          <w:bCs/>
          <w:color w:val="000000" w:themeColor="text1"/>
          <w:sz w:val="24"/>
        </w:rPr>
      </w:pPr>
      <w:r w:rsidRPr="008828EB">
        <w:rPr>
          <w:bCs/>
          <w:color w:val="000000" w:themeColor="text1"/>
          <w:sz w:val="24"/>
        </w:rPr>
        <w:t xml:space="preserve">C.2 </w:t>
      </w:r>
      <w:r w:rsidRPr="008828EB">
        <w:rPr>
          <w:bCs/>
          <w:color w:val="000000" w:themeColor="text1"/>
          <w:sz w:val="24"/>
        </w:rPr>
        <w:t>标准不确定度分量汇总表</w:t>
      </w:r>
    </w:p>
    <w:tbl>
      <w:tblPr>
        <w:tblStyle w:val="a7"/>
        <w:tblW w:w="4999" w:type="pct"/>
        <w:tblLook w:val="04A0" w:firstRow="1" w:lastRow="0" w:firstColumn="1" w:lastColumn="0" w:noHBand="0" w:noVBand="1"/>
      </w:tblPr>
      <w:tblGrid>
        <w:gridCol w:w="2072"/>
        <w:gridCol w:w="4147"/>
        <w:gridCol w:w="2075"/>
      </w:tblGrid>
      <w:tr w:rsidR="00821364" w:rsidRPr="008828EB" w14:paraId="7A008549" w14:textId="77777777" w:rsidTr="00BF5D4A">
        <w:tc>
          <w:tcPr>
            <w:tcW w:w="1249" w:type="pct"/>
            <w:vAlign w:val="center"/>
          </w:tcPr>
          <w:p w14:paraId="1A557EDF" w14:textId="77777777" w:rsidR="00821364" w:rsidRPr="008828EB" w:rsidRDefault="00821364" w:rsidP="00BF5D4A">
            <w:pPr>
              <w:jc w:val="center"/>
              <w:rPr>
                <w:bCs/>
                <w:color w:val="000000" w:themeColor="text1"/>
                <w:sz w:val="24"/>
              </w:rPr>
            </w:pPr>
            <w:r w:rsidRPr="008828EB">
              <w:rPr>
                <w:bCs/>
                <w:color w:val="000000" w:themeColor="text1"/>
                <w:sz w:val="24"/>
              </w:rPr>
              <w:t>标准不确定度符号</w:t>
            </w:r>
          </w:p>
        </w:tc>
        <w:tc>
          <w:tcPr>
            <w:tcW w:w="2499" w:type="pct"/>
            <w:vAlign w:val="center"/>
          </w:tcPr>
          <w:p w14:paraId="5CF0EFF3" w14:textId="77777777" w:rsidR="00821364" w:rsidRPr="008828EB" w:rsidRDefault="00821364" w:rsidP="00BF5D4A">
            <w:pPr>
              <w:jc w:val="center"/>
              <w:rPr>
                <w:bCs/>
                <w:color w:val="000000" w:themeColor="text1"/>
                <w:sz w:val="24"/>
              </w:rPr>
            </w:pPr>
            <w:r w:rsidRPr="008828EB">
              <w:rPr>
                <w:bCs/>
                <w:color w:val="000000" w:themeColor="text1"/>
                <w:sz w:val="24"/>
              </w:rPr>
              <w:t>不确定度来源</w:t>
            </w:r>
          </w:p>
        </w:tc>
        <w:tc>
          <w:tcPr>
            <w:tcW w:w="1250" w:type="pct"/>
            <w:vAlign w:val="center"/>
          </w:tcPr>
          <w:p w14:paraId="22322D4C" w14:textId="77777777" w:rsidR="00821364" w:rsidRPr="008828EB" w:rsidRDefault="00821364" w:rsidP="00BF5D4A">
            <w:pPr>
              <w:jc w:val="center"/>
              <w:rPr>
                <w:bCs/>
                <w:color w:val="000000" w:themeColor="text1"/>
                <w:sz w:val="24"/>
              </w:rPr>
            </w:pPr>
            <w:r w:rsidRPr="008828EB">
              <w:rPr>
                <w:bCs/>
                <w:color w:val="000000" w:themeColor="text1"/>
                <w:sz w:val="24"/>
              </w:rPr>
              <w:t>标准不确定度</w:t>
            </w:r>
          </w:p>
        </w:tc>
      </w:tr>
      <w:tr w:rsidR="00821364" w:rsidRPr="008828EB" w14:paraId="479D3570" w14:textId="77777777" w:rsidTr="00BF5D4A">
        <w:tc>
          <w:tcPr>
            <w:tcW w:w="1249" w:type="pct"/>
          </w:tcPr>
          <w:p w14:paraId="01064912" w14:textId="77777777" w:rsidR="00821364" w:rsidRPr="008828EB" w:rsidRDefault="00821364" w:rsidP="00BF5D4A">
            <w:pPr>
              <w:ind w:firstLine="480"/>
              <w:jc w:val="center"/>
              <w:rPr>
                <w:bCs/>
                <w:color w:val="000000" w:themeColor="text1"/>
                <w:sz w:val="24"/>
              </w:rPr>
            </w:pPr>
            <m:oMathPara>
              <m:oMath>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oMath>
            </m:oMathPara>
          </w:p>
        </w:tc>
        <w:tc>
          <w:tcPr>
            <w:tcW w:w="2499" w:type="pct"/>
          </w:tcPr>
          <w:p w14:paraId="692DDB47" w14:textId="77777777" w:rsidR="00821364" w:rsidRPr="008828EB" w:rsidRDefault="00821364" w:rsidP="00BF5D4A">
            <w:pPr>
              <w:jc w:val="center"/>
              <w:rPr>
                <w:bCs/>
                <w:color w:val="000000" w:themeColor="text1"/>
                <w:sz w:val="24"/>
              </w:rPr>
            </w:pPr>
            <w:r w:rsidRPr="008828EB">
              <w:rPr>
                <w:bCs/>
                <w:color w:val="000000" w:themeColor="text1"/>
                <w:sz w:val="24"/>
              </w:rPr>
              <w:t>测量重复性引入</w:t>
            </w:r>
          </w:p>
        </w:tc>
        <w:tc>
          <w:tcPr>
            <w:tcW w:w="1250" w:type="pct"/>
          </w:tcPr>
          <w:p w14:paraId="1F422549" w14:textId="50A67801" w:rsidR="00821364" w:rsidRPr="008828EB" w:rsidRDefault="007F0FF8" w:rsidP="00BF5D4A">
            <w:pPr>
              <w:ind w:firstLine="480"/>
              <w:jc w:val="center"/>
              <w:rPr>
                <w:rFonts w:hint="eastAsia"/>
                <w:bCs/>
                <w:color w:val="000000" w:themeColor="text1"/>
                <w:sz w:val="24"/>
              </w:rPr>
            </w:pPr>
            <w:r>
              <w:rPr>
                <w:rFonts w:hint="eastAsia"/>
                <w:bCs/>
                <w:color w:val="000000" w:themeColor="text1"/>
                <w:sz w:val="24"/>
              </w:rPr>
              <w:t>2%</w:t>
            </w:r>
          </w:p>
        </w:tc>
      </w:tr>
      <w:tr w:rsidR="00821364" w:rsidRPr="008828EB" w14:paraId="08771267" w14:textId="77777777" w:rsidTr="00BF5D4A">
        <w:tc>
          <w:tcPr>
            <w:tcW w:w="1249" w:type="pct"/>
          </w:tcPr>
          <w:p w14:paraId="7517F44F" w14:textId="77777777" w:rsidR="00821364" w:rsidRPr="008828EB" w:rsidRDefault="00821364" w:rsidP="00BF5D4A">
            <w:pPr>
              <w:jc w:val="center"/>
              <w:rPr>
                <w:bCs/>
                <w:color w:val="000000" w:themeColor="text1"/>
                <w:sz w:val="24"/>
              </w:rPr>
            </w:pPr>
            <w:r w:rsidRPr="008828EB">
              <w:rPr>
                <w:bCs/>
                <w:color w:val="000000" w:themeColor="text1"/>
                <w:sz w:val="24"/>
              </w:rPr>
              <w:t>u(c</w:t>
            </w:r>
            <w:r w:rsidRPr="008828EB">
              <w:rPr>
                <w:bCs/>
                <w:color w:val="000000" w:themeColor="text1"/>
                <w:sz w:val="24"/>
                <w:vertAlign w:val="subscript"/>
              </w:rPr>
              <w:t>s</w:t>
            </w:r>
            <w:r w:rsidRPr="008828EB">
              <w:rPr>
                <w:bCs/>
                <w:color w:val="000000" w:themeColor="text1"/>
                <w:sz w:val="24"/>
              </w:rPr>
              <w:t>)</w:t>
            </w:r>
          </w:p>
        </w:tc>
        <w:tc>
          <w:tcPr>
            <w:tcW w:w="2499" w:type="pct"/>
          </w:tcPr>
          <w:p w14:paraId="330466BF" w14:textId="77777777" w:rsidR="00821364" w:rsidRPr="008828EB" w:rsidRDefault="00821364" w:rsidP="00BF5D4A">
            <w:pPr>
              <w:jc w:val="center"/>
              <w:rPr>
                <w:bCs/>
                <w:color w:val="000000" w:themeColor="text1"/>
                <w:sz w:val="24"/>
              </w:rPr>
            </w:pPr>
            <w:r w:rsidRPr="008828EB">
              <w:rPr>
                <w:bCs/>
                <w:color w:val="000000" w:themeColor="text1"/>
                <w:sz w:val="24"/>
              </w:rPr>
              <w:t>标准气体引入的定值不确定度</w:t>
            </w:r>
          </w:p>
        </w:tc>
        <w:tc>
          <w:tcPr>
            <w:tcW w:w="1250" w:type="pct"/>
          </w:tcPr>
          <w:p w14:paraId="4AE68487" w14:textId="3BA5338E" w:rsidR="00821364" w:rsidRPr="008828EB" w:rsidRDefault="007F0FF8" w:rsidP="00BF5D4A">
            <w:pPr>
              <w:ind w:firstLine="480"/>
              <w:jc w:val="center"/>
              <w:rPr>
                <w:rFonts w:hint="eastAsia"/>
                <w:bCs/>
                <w:color w:val="000000" w:themeColor="text1"/>
                <w:sz w:val="24"/>
              </w:rPr>
            </w:pPr>
            <w:r>
              <w:rPr>
                <w:rFonts w:hint="eastAsia"/>
                <w:bCs/>
                <w:color w:val="000000" w:themeColor="text1"/>
                <w:sz w:val="24"/>
              </w:rPr>
              <w:t>1%</w:t>
            </w:r>
          </w:p>
        </w:tc>
      </w:tr>
    </w:tbl>
    <w:p w14:paraId="5B09A759"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合成标准不确定度为：</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821364" w:rsidRPr="008828EB" w14:paraId="746C5759" w14:textId="77777777" w:rsidTr="00BF5D4A">
        <w:tc>
          <w:tcPr>
            <w:tcW w:w="988" w:type="dxa"/>
            <w:vAlign w:val="center"/>
          </w:tcPr>
          <w:p w14:paraId="1C65E870" w14:textId="77777777" w:rsidR="00821364" w:rsidRPr="008828EB" w:rsidRDefault="00821364" w:rsidP="00BF5D4A">
            <w:pPr>
              <w:snapToGrid w:val="0"/>
              <w:jc w:val="left"/>
              <w:rPr>
                <w:color w:val="000000" w:themeColor="text1"/>
                <w:sz w:val="24"/>
              </w:rPr>
            </w:pPr>
          </w:p>
        </w:tc>
        <w:tc>
          <w:tcPr>
            <w:tcW w:w="6237" w:type="dxa"/>
            <w:vAlign w:val="center"/>
          </w:tcPr>
          <w:p w14:paraId="0C92C1C5" w14:textId="77777777" w:rsidR="00821364" w:rsidRPr="008828EB" w:rsidRDefault="00821364" w:rsidP="00BF5D4A">
            <w:pPr>
              <w:spacing w:line="360" w:lineRule="auto"/>
              <w:ind w:firstLineChars="200" w:firstLine="480"/>
              <w:rPr>
                <w:rFonts w:hAnsi="Cambria Math"/>
                <w:bCs/>
                <w:color w:val="000000" w:themeColor="text1"/>
                <w:sz w:val="24"/>
              </w:rPr>
            </w:pPr>
            <m:oMathPara>
              <m:oMath>
                <m:sSub>
                  <m:sSubPr>
                    <m:ctrlPr>
                      <w:rPr>
                        <w:rFonts w:ascii="Cambria Math" w:hAnsi="Cambria Math" w:hint="eastAsia"/>
                        <w:bCs/>
                        <w:i/>
                        <w:iCs/>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c</m:t>
                    </m:r>
                  </m:sub>
                </m:sSub>
                <m:r>
                  <m:rPr>
                    <m:sty m:val="p"/>
                  </m:rPr>
                  <w:rPr>
                    <w:rFonts w:ascii="Cambria Math" w:hAnsi="Cambria Math" w:hint="eastAsia"/>
                    <w:color w:val="000000" w:themeColor="text1"/>
                    <w:sz w:val="24"/>
                  </w:rPr>
                  <m:t>（</m:t>
                </m:r>
                <m:r>
                  <w:rPr>
                    <w:rFonts w:ascii="Cambria Math" w:hAnsi="Cambria Math"/>
                    <w:color w:val="000000" w:themeColor="text1"/>
                    <w:sz w:val="24"/>
                  </w:rPr>
                  <m:t>Δc</m:t>
                </m:r>
                <m:r>
                  <m:rPr>
                    <m:sty m:val="p"/>
                  </m:rPr>
                  <w:rPr>
                    <w:rFonts w:ascii="Cambria Math" w:hAnsi="Cambria Math" w:hint="eastAsia"/>
                    <w:color w:val="000000" w:themeColor="text1"/>
                    <w:sz w:val="24"/>
                  </w:rPr>
                  <m:t>）</m:t>
                </m:r>
                <m:r>
                  <m:rPr>
                    <m:sty m:val="p"/>
                  </m:rPr>
                  <w:rPr>
                    <w:rFonts w:ascii="Cambria Math" w:hAnsi="Cambria Math" w:hint="eastAsia"/>
                    <w:color w:val="000000" w:themeColor="text1"/>
                    <w:sz w:val="24"/>
                  </w:rPr>
                  <m:t>=</m:t>
                </m:r>
                <m:rad>
                  <m:radPr>
                    <m:degHide m:val="1"/>
                    <m:ctrlPr>
                      <w:rPr>
                        <w:rFonts w:ascii="Cambria Math" w:hAnsi="Cambria Math" w:hint="eastAsia"/>
                        <w:bCs/>
                        <w:color w:val="000000" w:themeColor="text1"/>
                        <w:sz w:val="24"/>
                      </w:rPr>
                    </m:ctrlPr>
                  </m:radPr>
                  <m:deg/>
                  <m:e>
                    <m:sSubSup>
                      <m:sSubSupPr>
                        <m:ctrlPr>
                          <w:rPr>
                            <w:rFonts w:ascii="Cambria Math" w:hAnsi="Cambria Math" w:hint="eastAsia"/>
                            <w:bCs/>
                            <w:color w:val="000000" w:themeColor="text1"/>
                            <w:sz w:val="24"/>
                          </w:rPr>
                        </m:ctrlPr>
                      </m:sSubSupPr>
                      <m:e>
                        <m:r>
                          <m:rPr>
                            <m:sty m:val="p"/>
                          </m:rPr>
                          <w:rPr>
                            <w:rFonts w:ascii="Cambria Math" w:hAnsi="Cambria Math"/>
                            <w:color w:val="000000" w:themeColor="text1"/>
                            <w:sz w:val="24"/>
                          </w:rPr>
                          <m:t>c</m:t>
                        </m:r>
                      </m:e>
                      <m:sub>
                        <m:r>
                          <m:rPr>
                            <m:sty m:val="p"/>
                          </m:rPr>
                          <w:rPr>
                            <w:rFonts w:ascii="Cambria Math" w:hAnsi="Cambria Math"/>
                            <w:color w:val="000000" w:themeColor="text1"/>
                            <w:sz w:val="24"/>
                          </w:rPr>
                          <m:t>1</m:t>
                        </m:r>
                      </m:sub>
                      <m:sup>
                        <m:r>
                          <m:rPr>
                            <m:sty m:val="p"/>
                          </m:rPr>
                          <w:rPr>
                            <w:rFonts w:ascii="Cambria Math" w:hAnsi="Cambria Math"/>
                            <w:color w:val="000000" w:themeColor="text1"/>
                            <w:sz w:val="24"/>
                          </w:rPr>
                          <m:t>2</m:t>
                        </m:r>
                      </m:sup>
                    </m:sSubSup>
                    <m:sSup>
                      <m:sSupPr>
                        <m:ctrlPr>
                          <w:rPr>
                            <w:rFonts w:ascii="Cambria Math" w:hAnsi="Cambria Math" w:hint="eastAsia"/>
                            <w:bCs/>
                            <w:color w:val="000000" w:themeColor="text1"/>
                            <w:sz w:val="24"/>
                          </w:rPr>
                        </m:ctrlPr>
                      </m:sSupPr>
                      <m:e>
                        <m:r>
                          <m:rPr>
                            <m:sty m:val="p"/>
                          </m:rPr>
                          <w:rPr>
                            <w:rFonts w:ascii="Cambria Math" w:hAnsi="Cambria Math"/>
                            <w:color w:val="000000" w:themeColor="text1"/>
                            <w:sz w:val="24"/>
                          </w:rPr>
                          <m:t>u(</m:t>
                        </m:r>
                        <m:bar>
                          <m:barPr>
                            <m:pos m:val="top"/>
                            <m:ctrlPr>
                              <w:rPr>
                                <w:rFonts w:ascii="Cambria Math" w:hAnsi="Cambria Math"/>
                                <w:bCs/>
                                <w:color w:val="000000" w:themeColor="text1"/>
                                <w:sz w:val="24"/>
                              </w:rPr>
                            </m:ctrlPr>
                          </m:barPr>
                          <m:e>
                            <m:r>
                              <w:rPr>
                                <w:rFonts w:ascii="Cambria Math" w:hAnsi="Cambria Math"/>
                                <w:color w:val="000000" w:themeColor="text1"/>
                                <w:sz w:val="24"/>
                              </w:rPr>
                              <m:t>c</m:t>
                            </m:r>
                          </m:e>
                        </m:bar>
                        <m:r>
                          <m:rPr>
                            <m:sty m:val="p"/>
                          </m:rPr>
                          <w:rPr>
                            <w:rFonts w:ascii="Cambria Math" w:hAnsi="Cambria Math"/>
                            <w:color w:val="000000" w:themeColor="text1"/>
                            <w:sz w:val="24"/>
                          </w:rPr>
                          <m:t>)</m:t>
                        </m:r>
                      </m:e>
                      <m:sup>
                        <m:r>
                          <m:rPr>
                            <m:sty m:val="p"/>
                          </m:rPr>
                          <w:rPr>
                            <w:rFonts w:ascii="Cambria Math" w:hAnsi="Cambria Math"/>
                            <w:color w:val="000000" w:themeColor="text1"/>
                            <w:sz w:val="24"/>
                          </w:rPr>
                          <m:t>2</m:t>
                        </m:r>
                      </m:sup>
                    </m:sSup>
                    <m:r>
                      <m:rPr>
                        <m:sty m:val="p"/>
                      </m:rPr>
                      <w:rPr>
                        <w:rFonts w:ascii="Cambria Math" w:hAnsi="Cambria Math"/>
                        <w:color w:val="000000" w:themeColor="text1"/>
                        <w:sz w:val="24"/>
                      </w:rPr>
                      <m:t>+</m:t>
                    </m:r>
                    <m:sSubSup>
                      <m:sSubSupPr>
                        <m:ctrlPr>
                          <w:rPr>
                            <w:rFonts w:ascii="Cambria Math" w:hAnsi="Cambria Math" w:hint="eastAsia"/>
                            <w:bCs/>
                            <w:color w:val="000000" w:themeColor="text1"/>
                            <w:sz w:val="24"/>
                          </w:rPr>
                        </m:ctrlPr>
                      </m:sSubSupPr>
                      <m:e>
                        <m:r>
                          <m:rPr>
                            <m:sty m:val="p"/>
                          </m:rPr>
                          <w:rPr>
                            <w:rFonts w:ascii="Cambria Math" w:hAnsi="Cambria Math"/>
                            <w:color w:val="000000" w:themeColor="text1"/>
                            <w:sz w:val="24"/>
                          </w:rPr>
                          <m:t>c</m:t>
                        </m:r>
                      </m:e>
                      <m:sub>
                        <m:r>
                          <m:rPr>
                            <m:sty m:val="p"/>
                          </m:rPr>
                          <w:rPr>
                            <w:rFonts w:ascii="Cambria Math" w:hAnsi="Cambria Math"/>
                            <w:color w:val="000000" w:themeColor="text1"/>
                            <w:sz w:val="24"/>
                          </w:rPr>
                          <m:t>2</m:t>
                        </m:r>
                      </m:sub>
                      <m:sup>
                        <m:r>
                          <m:rPr>
                            <m:sty m:val="p"/>
                          </m:rPr>
                          <w:rPr>
                            <w:rFonts w:ascii="Cambria Math" w:hAnsi="Cambria Math"/>
                            <w:color w:val="000000" w:themeColor="text1"/>
                            <w:sz w:val="24"/>
                          </w:rPr>
                          <m:t>2</m:t>
                        </m:r>
                      </m:sup>
                    </m:sSubSup>
                    <m:sSup>
                      <m:sSupPr>
                        <m:ctrlPr>
                          <w:rPr>
                            <w:rFonts w:ascii="Cambria Math" w:hAnsi="Cambria Math" w:hint="eastAsia"/>
                            <w:bCs/>
                            <w:color w:val="000000" w:themeColor="text1"/>
                            <w:sz w:val="24"/>
                          </w:rPr>
                        </m:ctrlPr>
                      </m:sSupPr>
                      <m:e>
                        <m:r>
                          <m:rPr>
                            <m:sty m:val="p"/>
                          </m:rPr>
                          <w:rPr>
                            <w:rFonts w:ascii="Cambria Math" w:hAnsi="Cambria Math"/>
                            <w:color w:val="000000" w:themeColor="text1"/>
                            <w:sz w:val="24"/>
                          </w:rPr>
                          <m:t>u(</m:t>
                        </m:r>
                        <m:sSub>
                          <m:sSubPr>
                            <m:ctrlPr>
                              <w:rPr>
                                <w:rFonts w:ascii="Cambria Math" w:hAnsi="Cambria Math"/>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s</m:t>
                            </m:r>
                          </m:sub>
                        </m:sSub>
                        <m:r>
                          <m:rPr>
                            <m:sty m:val="p"/>
                          </m:rPr>
                          <w:rPr>
                            <w:rFonts w:ascii="Cambria Math" w:hAnsi="Cambria Math"/>
                            <w:color w:val="000000" w:themeColor="text1"/>
                            <w:sz w:val="24"/>
                          </w:rPr>
                          <m:t>)</m:t>
                        </m:r>
                      </m:e>
                      <m:sup>
                        <m:r>
                          <m:rPr>
                            <m:sty m:val="p"/>
                          </m:rPr>
                          <w:rPr>
                            <w:rFonts w:ascii="Cambria Math" w:hAnsi="Cambria Math"/>
                            <w:color w:val="000000" w:themeColor="text1"/>
                            <w:sz w:val="24"/>
                          </w:rPr>
                          <m:t>2</m:t>
                        </m:r>
                      </m:sup>
                    </m:sSup>
                  </m:e>
                </m:rad>
              </m:oMath>
            </m:oMathPara>
          </w:p>
        </w:tc>
        <w:tc>
          <w:tcPr>
            <w:tcW w:w="1071" w:type="dxa"/>
            <w:vAlign w:val="center"/>
          </w:tcPr>
          <w:p w14:paraId="75205511" w14:textId="77777777" w:rsidR="00821364" w:rsidRPr="008828EB" w:rsidRDefault="00821364" w:rsidP="00BF5D4A">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C.4)</w:t>
            </w:r>
          </w:p>
        </w:tc>
      </w:tr>
    </w:tbl>
    <w:p w14:paraId="5769804F" w14:textId="28A8A7A2" w:rsidR="007F0FF8" w:rsidRDefault="007F0FF8" w:rsidP="009B73B4">
      <w:pPr>
        <w:spacing w:line="360" w:lineRule="auto"/>
        <w:ind w:firstLineChars="1450" w:firstLine="3480"/>
        <w:rPr>
          <w:rFonts w:hint="eastAsia"/>
          <w:bCs/>
          <w:color w:val="000000" w:themeColor="text1"/>
          <w:sz w:val="24"/>
        </w:rPr>
      </w:pPr>
      <w:r>
        <w:rPr>
          <w:rFonts w:hint="eastAsia"/>
          <w:bCs/>
          <w:color w:val="000000" w:themeColor="text1"/>
          <w:sz w:val="24"/>
        </w:rPr>
        <w:t>=</w:t>
      </w:r>
      <w:r w:rsidR="009B73B4">
        <w:rPr>
          <w:rFonts w:hint="eastAsia"/>
          <w:bCs/>
          <w:color w:val="000000" w:themeColor="text1"/>
          <w:sz w:val="24"/>
        </w:rPr>
        <w:t>2.24</w:t>
      </w:r>
      <w:r>
        <w:rPr>
          <w:rFonts w:hint="eastAsia"/>
          <w:bCs/>
          <w:color w:val="000000" w:themeColor="text1"/>
          <w:sz w:val="24"/>
        </w:rPr>
        <w:t>%</w:t>
      </w:r>
    </w:p>
    <w:p w14:paraId="7B5FDA01" w14:textId="2D169BF3"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t xml:space="preserve">C.6 </w:t>
      </w:r>
      <w:r w:rsidRPr="008828EB">
        <w:rPr>
          <w:bCs/>
          <w:color w:val="000000" w:themeColor="text1"/>
          <w:sz w:val="24"/>
        </w:rPr>
        <w:t>扩展不确定度</w:t>
      </w:r>
    </w:p>
    <w:p w14:paraId="273B4F20" w14:textId="77777777" w:rsidR="00821364" w:rsidRPr="008828EB" w:rsidRDefault="00821364" w:rsidP="00821364">
      <w:pPr>
        <w:spacing w:line="360" w:lineRule="auto"/>
        <w:ind w:firstLineChars="200" w:firstLine="480"/>
        <w:rPr>
          <w:bCs/>
          <w:color w:val="000000" w:themeColor="text1"/>
          <w:sz w:val="24"/>
        </w:rPr>
      </w:pPr>
      <w:r w:rsidRPr="008828EB">
        <w:rPr>
          <w:bCs/>
          <w:color w:val="000000" w:themeColor="text1"/>
          <w:sz w:val="24"/>
        </w:rPr>
        <w:lastRenderedPageBreak/>
        <w:t>包含因子取</w:t>
      </w:r>
      <w:r w:rsidRPr="008828EB">
        <w:rPr>
          <w:bCs/>
          <w:color w:val="000000" w:themeColor="text1"/>
          <w:sz w:val="24"/>
        </w:rPr>
        <w:t>k=2</w:t>
      </w:r>
      <w:r w:rsidRPr="008828EB">
        <w:rPr>
          <w:bCs/>
          <w:color w:val="000000" w:themeColor="text1"/>
          <w:sz w:val="24"/>
        </w:rPr>
        <w:t>，其对应的包含概率为</w:t>
      </w:r>
      <w:r w:rsidRPr="008828EB">
        <w:rPr>
          <w:bCs/>
          <w:color w:val="000000" w:themeColor="text1"/>
          <w:sz w:val="24"/>
        </w:rPr>
        <w:t>95%</w:t>
      </w:r>
      <w:r w:rsidRPr="008828EB">
        <w:rPr>
          <w:bCs/>
          <w:color w:val="000000" w:themeColor="text1"/>
          <w:sz w:val="24"/>
        </w:rPr>
        <w:t>，则：</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6237"/>
        <w:gridCol w:w="1071"/>
      </w:tblGrid>
      <w:tr w:rsidR="00821364" w:rsidRPr="008828EB" w14:paraId="3B2C43C9" w14:textId="77777777" w:rsidTr="00BF5D4A">
        <w:tc>
          <w:tcPr>
            <w:tcW w:w="988" w:type="dxa"/>
            <w:vAlign w:val="center"/>
          </w:tcPr>
          <w:p w14:paraId="295754B8" w14:textId="77777777" w:rsidR="00821364" w:rsidRPr="008828EB" w:rsidRDefault="00821364" w:rsidP="00BF5D4A">
            <w:pPr>
              <w:snapToGrid w:val="0"/>
              <w:jc w:val="left"/>
              <w:rPr>
                <w:color w:val="000000" w:themeColor="text1"/>
                <w:sz w:val="24"/>
              </w:rPr>
            </w:pPr>
          </w:p>
        </w:tc>
        <w:tc>
          <w:tcPr>
            <w:tcW w:w="6237" w:type="dxa"/>
            <w:vAlign w:val="center"/>
          </w:tcPr>
          <w:p w14:paraId="1659E55F" w14:textId="77777777" w:rsidR="00821364" w:rsidRPr="008828EB" w:rsidRDefault="00821364" w:rsidP="00BF5D4A">
            <w:pPr>
              <w:spacing w:line="360" w:lineRule="auto"/>
              <w:ind w:firstLine="480"/>
              <w:jc w:val="center"/>
              <w:rPr>
                <w:bCs/>
                <w:color w:val="000000" w:themeColor="text1"/>
                <w:sz w:val="24"/>
              </w:rPr>
            </w:pPr>
            <m:oMathPara>
              <m:oMath>
                <m:r>
                  <w:rPr>
                    <w:rFonts w:ascii="Cambria Math" w:hAnsi="Cambria Math"/>
                    <w:color w:val="000000" w:themeColor="text1"/>
                    <w:sz w:val="24"/>
                  </w:rPr>
                  <m:t>U</m:t>
                </m:r>
                <m:r>
                  <m:rPr>
                    <m:sty m:val="p"/>
                  </m:rPr>
                  <w:rPr>
                    <w:rFonts w:ascii="Cambria Math" w:hAnsi="Cambria Math"/>
                    <w:color w:val="000000" w:themeColor="text1"/>
                    <w:sz w:val="24"/>
                  </w:rPr>
                  <m:t>=</m:t>
                </m:r>
                <m:r>
                  <w:rPr>
                    <w:rFonts w:ascii="Cambria Math" w:hAnsi="Cambria Math"/>
                    <w:color w:val="000000" w:themeColor="text1"/>
                    <w:sz w:val="24"/>
                  </w:rPr>
                  <m:t>k</m:t>
                </m:r>
                <m:sSub>
                  <m:sSubPr>
                    <m:ctrlPr>
                      <w:rPr>
                        <w:rFonts w:ascii="Cambria Math" w:hAnsi="Cambria Math"/>
                        <w:bCs/>
                        <w:color w:val="000000" w:themeColor="text1"/>
                        <w:sz w:val="24"/>
                      </w:rPr>
                    </m:ctrlPr>
                  </m:sSubPr>
                  <m:e>
                    <m:r>
                      <m:rPr>
                        <m:sty m:val="p"/>
                      </m:rPr>
                      <w:rPr>
                        <w:rFonts w:ascii="Cambria Math" w:hAnsi="Cambria Math"/>
                        <w:color w:val="000000" w:themeColor="text1"/>
                        <w:sz w:val="24"/>
                      </w:rPr>
                      <m:t>u</m:t>
                    </m:r>
                  </m:e>
                  <m:sub>
                    <m:r>
                      <m:rPr>
                        <m:sty m:val="p"/>
                      </m:rPr>
                      <w:rPr>
                        <w:rFonts w:ascii="Cambria Math" w:hAnsi="Cambria Math"/>
                        <w:color w:val="000000" w:themeColor="text1"/>
                        <w:sz w:val="24"/>
                      </w:rPr>
                      <m:t>c</m:t>
                    </m:r>
                  </m:sub>
                </m:sSub>
                <m:r>
                  <m:rPr>
                    <m:sty m:val="p"/>
                  </m:rPr>
                  <w:rPr>
                    <w:rFonts w:ascii="Cambria Math" w:hAnsi="Cambria Math"/>
                    <w:color w:val="000000" w:themeColor="text1"/>
                    <w:sz w:val="24"/>
                  </w:rPr>
                  <m:t>=2</m:t>
                </m:r>
                <m:sSub>
                  <m:sSubPr>
                    <m:ctrlPr>
                      <w:rPr>
                        <w:rFonts w:ascii="Cambria Math" w:hAnsi="Cambria Math"/>
                        <w:bCs/>
                        <w:color w:val="000000" w:themeColor="text1"/>
                        <w:sz w:val="24"/>
                      </w:rPr>
                    </m:ctrlPr>
                  </m:sSubPr>
                  <m:e>
                    <m:r>
                      <m:rPr>
                        <m:sty m:val="p"/>
                      </m:rPr>
                      <w:rPr>
                        <w:rFonts w:ascii="Cambria Math" w:hAnsi="Cambria Math"/>
                        <w:color w:val="000000" w:themeColor="text1"/>
                        <w:sz w:val="24"/>
                      </w:rPr>
                      <m:t>u</m:t>
                    </m:r>
                  </m:e>
                  <m:sub>
                    <m:r>
                      <m:rPr>
                        <m:sty m:val="p"/>
                      </m:rPr>
                      <w:rPr>
                        <w:rFonts w:ascii="Cambria Math" w:hAnsi="Cambria Math"/>
                        <w:color w:val="000000" w:themeColor="text1"/>
                        <w:sz w:val="24"/>
                      </w:rPr>
                      <m:t>c</m:t>
                    </m:r>
                  </m:sub>
                </m:sSub>
              </m:oMath>
            </m:oMathPara>
          </w:p>
        </w:tc>
        <w:tc>
          <w:tcPr>
            <w:tcW w:w="1071" w:type="dxa"/>
            <w:vAlign w:val="center"/>
          </w:tcPr>
          <w:p w14:paraId="11C12EC7" w14:textId="77777777" w:rsidR="00821364" w:rsidRPr="008828EB" w:rsidRDefault="00821364" w:rsidP="00BF5D4A">
            <w:pPr>
              <w:snapToGrid w:val="0"/>
              <w:jc w:val="right"/>
              <w:rPr>
                <w:color w:val="000000" w:themeColor="text1"/>
                <w:sz w:val="24"/>
              </w:rPr>
            </w:pPr>
            <w:r w:rsidRPr="008828EB">
              <w:rPr>
                <w:rFonts w:hint="eastAsia"/>
                <w:color w:val="000000" w:themeColor="text1"/>
                <w:sz w:val="24"/>
              </w:rPr>
              <w:t>(</w:t>
            </w:r>
            <w:r w:rsidRPr="008828EB">
              <w:rPr>
                <w:color w:val="000000" w:themeColor="text1"/>
                <w:sz w:val="24"/>
              </w:rPr>
              <w:t>C.5)</w:t>
            </w:r>
          </w:p>
        </w:tc>
      </w:tr>
    </w:tbl>
    <w:p w14:paraId="04E3E315" w14:textId="3CF60A26" w:rsidR="00C65646" w:rsidRPr="009B73B4" w:rsidRDefault="007F0FF8" w:rsidP="009B73B4">
      <w:pPr>
        <w:ind w:firstLineChars="1500" w:firstLine="3600"/>
        <w:rPr>
          <w:rFonts w:hint="eastAsia"/>
          <w:sz w:val="24"/>
          <w:szCs w:val="32"/>
        </w:rPr>
      </w:pPr>
      <w:r w:rsidRPr="009B73B4">
        <w:rPr>
          <w:rFonts w:hint="eastAsia"/>
          <w:sz w:val="24"/>
          <w:szCs w:val="32"/>
        </w:rPr>
        <w:t>=</w:t>
      </w:r>
      <w:r w:rsidR="009B73B4" w:rsidRPr="009B73B4">
        <w:rPr>
          <w:rFonts w:hint="eastAsia"/>
          <w:sz w:val="24"/>
          <w:szCs w:val="32"/>
        </w:rPr>
        <w:t>4.48</w:t>
      </w:r>
      <w:r w:rsidRPr="009B73B4">
        <w:rPr>
          <w:rFonts w:hint="eastAsia"/>
          <w:sz w:val="24"/>
          <w:szCs w:val="32"/>
        </w:rPr>
        <w:t>%</w:t>
      </w:r>
    </w:p>
    <w:sectPr w:rsidR="00C65646" w:rsidRPr="009B7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A3B1F" w14:textId="77777777" w:rsidR="00BA2D9E" w:rsidRDefault="00BA2D9E" w:rsidP="00821364">
      <w:r>
        <w:separator/>
      </w:r>
    </w:p>
  </w:endnote>
  <w:endnote w:type="continuationSeparator" w:id="0">
    <w:p w14:paraId="467F6B40" w14:textId="77777777" w:rsidR="00BA2D9E" w:rsidRDefault="00BA2D9E" w:rsidP="0082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C1D0F" w14:textId="77777777" w:rsidR="00BA2D9E" w:rsidRDefault="00BA2D9E" w:rsidP="00821364">
      <w:r>
        <w:separator/>
      </w:r>
    </w:p>
  </w:footnote>
  <w:footnote w:type="continuationSeparator" w:id="0">
    <w:p w14:paraId="0E5255C1" w14:textId="77777777" w:rsidR="00BA2D9E" w:rsidRDefault="00BA2D9E" w:rsidP="0082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272F01"/>
    <w:multiLevelType w:val="singleLevel"/>
    <w:tmpl w:val="AA272F01"/>
    <w:lvl w:ilvl="0">
      <w:start w:val="1"/>
      <w:numFmt w:val="lowerLetter"/>
      <w:suff w:val="space"/>
      <w:lvlText w:val="%1)"/>
      <w:lvlJc w:val="left"/>
    </w:lvl>
  </w:abstractNum>
  <w:num w:numId="1" w16cid:durableId="18692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46"/>
    <w:rsid w:val="00197B9A"/>
    <w:rsid w:val="007F0FF8"/>
    <w:rsid w:val="00821364"/>
    <w:rsid w:val="009B73B4"/>
    <w:rsid w:val="00BA2D9E"/>
    <w:rsid w:val="00C6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005C4"/>
  <w15:chartTrackingRefBased/>
  <w15:docId w15:val="{6A5CDEC9-CF8A-48AC-B4BE-49D9132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364"/>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364"/>
    <w:pPr>
      <w:tabs>
        <w:tab w:val="center" w:pos="4153"/>
        <w:tab w:val="right" w:pos="8306"/>
      </w:tabs>
      <w:snapToGrid w:val="0"/>
      <w:jc w:val="center"/>
    </w:pPr>
    <w:rPr>
      <w:sz w:val="18"/>
      <w:szCs w:val="18"/>
    </w:rPr>
  </w:style>
  <w:style w:type="character" w:customStyle="1" w:styleId="a4">
    <w:name w:val="页眉 字符"/>
    <w:basedOn w:val="a0"/>
    <w:link w:val="a3"/>
    <w:uiPriority w:val="99"/>
    <w:rsid w:val="00821364"/>
    <w:rPr>
      <w:sz w:val="18"/>
      <w:szCs w:val="18"/>
    </w:rPr>
  </w:style>
  <w:style w:type="paragraph" w:styleId="a5">
    <w:name w:val="footer"/>
    <w:basedOn w:val="a"/>
    <w:link w:val="a6"/>
    <w:uiPriority w:val="99"/>
    <w:unhideWhenUsed/>
    <w:rsid w:val="00821364"/>
    <w:pPr>
      <w:tabs>
        <w:tab w:val="center" w:pos="4153"/>
        <w:tab w:val="right" w:pos="8306"/>
      </w:tabs>
      <w:snapToGrid w:val="0"/>
      <w:jc w:val="left"/>
    </w:pPr>
    <w:rPr>
      <w:sz w:val="18"/>
      <w:szCs w:val="18"/>
    </w:rPr>
  </w:style>
  <w:style w:type="character" w:customStyle="1" w:styleId="a6">
    <w:name w:val="页脚 字符"/>
    <w:basedOn w:val="a0"/>
    <w:link w:val="a5"/>
    <w:uiPriority w:val="99"/>
    <w:rsid w:val="00821364"/>
    <w:rPr>
      <w:sz w:val="18"/>
      <w:szCs w:val="18"/>
    </w:rPr>
  </w:style>
  <w:style w:type="table" w:styleId="a7">
    <w:name w:val="Table Grid"/>
    <w:basedOn w:val="a1"/>
    <w:qFormat/>
    <w:rsid w:val="00821364"/>
    <w:pPr>
      <w:widowControl w:val="0"/>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冠福 潘</dc:creator>
  <cp:keywords/>
  <dc:description/>
  <cp:lastModifiedBy>冠福 潘</cp:lastModifiedBy>
  <cp:revision>2</cp:revision>
  <dcterms:created xsi:type="dcterms:W3CDTF">2024-06-05T13:34:00Z</dcterms:created>
  <dcterms:modified xsi:type="dcterms:W3CDTF">2024-06-05T13:56:00Z</dcterms:modified>
</cp:coreProperties>
</file>