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1" w:beforeLines="1000"/>
        <w:jc w:val="center"/>
        <w:textAlignment w:val="auto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《高压介质损耗因数标准器校准规范》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44"/>
          <w:szCs w:val="44"/>
        </w:rPr>
        <w:t>测量不确定度评定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高压介质损耗因数标准器校准规范</w:t>
      </w:r>
      <w:r>
        <w:rPr>
          <w:rFonts w:hint="eastAsia"/>
          <w:sz w:val="28"/>
          <w:szCs w:val="28"/>
          <w:lang w:eastAsia="zh-CN"/>
        </w:rPr>
        <w:t>起草</w:t>
      </w:r>
      <w:r>
        <w:rPr>
          <w:rFonts w:hint="eastAsia"/>
          <w:sz w:val="28"/>
          <w:szCs w:val="28"/>
        </w:rPr>
        <w:t>组</w:t>
      </w:r>
    </w:p>
    <w:p>
      <w:pPr>
        <w:jc w:val="center"/>
        <w:rPr>
          <w:sz w:val="24"/>
          <w:szCs w:val="24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04</w:t>
      </w:r>
      <w:r>
        <w:rPr>
          <w:rFonts w:hint="eastAsia"/>
          <w:sz w:val="28"/>
          <w:szCs w:val="28"/>
        </w:rPr>
        <w:t>月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hint="eastAsia" w:ascii="黑体" w:eastAsia="黑体"/>
          <w:sz w:val="28"/>
          <w:szCs w:val="28"/>
        </w:rPr>
      </w:pPr>
      <w:bookmarkStart w:id="0" w:name="_Toc16234"/>
      <w:bookmarkStart w:id="1" w:name="_Toc433627409"/>
      <w:r>
        <w:rPr>
          <w:rFonts w:hint="eastAsia" w:ascii="黑体" w:eastAsia="黑体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适用于高压介质损耗因数标准器的测量不确定度的评定与表示。依据JJF 1059.1-2012《测量不确定度评定与表示》进行评定。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bookmarkEnd w:id="0"/>
    <w:bookmarkEnd w:id="1"/>
    <w:p>
      <w:pPr>
        <w:outlineLvl w:val="0"/>
        <w:rPr>
          <w:rFonts w:hint="eastAsia" w:ascii="黑体" w:eastAsia="黑体"/>
          <w:sz w:val="28"/>
          <w:szCs w:val="28"/>
        </w:rPr>
      </w:pPr>
      <w:bookmarkStart w:id="2" w:name="_Toc5369"/>
      <w:r>
        <w:rPr>
          <w:rFonts w:hint="eastAsia" w:ascii="黑体" w:eastAsia="黑体"/>
          <w:sz w:val="28"/>
          <w:szCs w:val="28"/>
          <w:lang w:val="en-US" w:eastAsia="zh-CN"/>
        </w:rPr>
        <w:t>一、介质损耗因数</w:t>
      </w:r>
      <w:r>
        <w:rPr>
          <w:rFonts w:hint="eastAsia" w:ascii="黑体" w:eastAsia="黑体"/>
          <w:sz w:val="28"/>
          <w:szCs w:val="28"/>
        </w:rPr>
        <w:t>测量不确定度的评定</w:t>
      </w:r>
      <w:bookmarkEnd w:id="2"/>
      <w:bookmarkStart w:id="4" w:name="_GoBack"/>
      <w:bookmarkEnd w:id="4"/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测量方法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default" w:ascii="Times New Roman" w:hAnsi="Times New Roman" w:eastAsia="宋体" w:cs="Times New Roman"/>
          <w:sz w:val="24"/>
        </w:rPr>
        <w:t>用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高压电容电桥测量被校高压介损标准器</w:t>
      </w:r>
      <w:r>
        <w:rPr>
          <w:rFonts w:hint="default" w:ascii="Times New Roman" w:hAnsi="Times New Roman" w:eastAsia="宋体" w:cs="Times New Roman"/>
          <w:sz w:val="24"/>
        </w:rPr>
        <w:t>。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被校高压介损标准器的工作频率为50 Hz，额定电压为10 kV，电容标称值为100 pF；高压电容电桥的损耗因数的</w:t>
      </w:r>
      <w:r>
        <w:rPr>
          <w:rFonts w:hint="default" w:ascii="Times New Roman" w:hAnsi="Times New Roman" w:eastAsia="宋体" w:cs="Times New Roman"/>
          <w:sz w:val="24"/>
        </w:rPr>
        <w:t>最大允许误差为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25" o:spt="75" type="#_x0000_t75" style="height:16pt;width:114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高压标准电容器的损耗因数实际值</w:t>
      </w:r>
      <w:r>
        <w:rPr>
          <w:rFonts w:hint="default" w:ascii="Times New Roman" w:hAnsi="Times New Roman" w:eastAsia="宋体" w:cs="Times New Roman"/>
          <w:color w:val="FF0000"/>
          <w:position w:val="-12"/>
          <w:sz w:val="24"/>
          <w:szCs w:val="24"/>
        </w:rPr>
        <w:object>
          <v:shape id="_x0000_i1026" o:spt="75" type="#_x0000_t75" style="height:18pt;width:27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0.00001，测量不确定度</w:t>
      </w:r>
      <w:r>
        <w:rPr>
          <w:rFonts w:hint="default" w:ascii="Times New Roman" w:hAnsi="Times New Roman" w:eastAsia="宋体" w:cs="Times New Roman"/>
          <w:color w:val="FF0000"/>
          <w:position w:val="-6"/>
          <w:sz w:val="24"/>
          <w:szCs w:val="24"/>
        </w:rPr>
        <w:object>
          <v:shape id="_x0000_i1027" o:spt="75" type="#_x0000_t75" style="height:13.95pt;width:13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=0.00002 (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=2)。</w:t>
      </w:r>
      <w:r>
        <w:rPr>
          <w:rFonts w:hint="default" w:ascii="Times New Roman" w:hAnsi="Times New Roman" w:eastAsia="宋体" w:cs="Times New Roman"/>
          <w:sz w:val="24"/>
        </w:rPr>
        <w:t>下面以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校准损耗因数1%点为例</w:t>
      </w:r>
      <w:r>
        <w:rPr>
          <w:rFonts w:hint="default" w:ascii="Times New Roman" w:hAnsi="Times New Roman" w:eastAsia="宋体" w:cs="Times New Roman"/>
          <w:sz w:val="24"/>
        </w:rPr>
        <w:t>，评定测量不确定度过程如下。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测量模型</w:t>
      </w:r>
    </w:p>
    <w:p>
      <w:pPr>
        <w:spacing w:line="360" w:lineRule="auto"/>
        <w:ind w:firstLine="360"/>
        <w:jc w:val="right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FF0000"/>
          <w:position w:val="-12"/>
          <w:sz w:val="24"/>
          <w:szCs w:val="24"/>
        </w:rPr>
        <w:object>
          <v:shape id="_x0000_i1028" o:spt="75" type="#_x0000_t75" style="height:18pt;width:71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FF0000"/>
          <w:sz w:val="24"/>
        </w:rPr>
        <w:tab/>
      </w:r>
      <w:r>
        <w:rPr>
          <w:rFonts w:hint="default" w:ascii="Times New Roman" w:hAnsi="Times New Roman" w:eastAsia="宋体" w:cs="Times New Roman"/>
          <w:color w:val="FF000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color w:val="FF0000"/>
          <w:sz w:val="24"/>
        </w:rPr>
        <w:tab/>
      </w:r>
      <w:r>
        <w:rPr>
          <w:rFonts w:hint="default" w:ascii="Times New Roman" w:hAnsi="Times New Roman" w:eastAsia="宋体" w:cs="Times New Roman"/>
          <w:color w:val="FF0000"/>
          <w:sz w:val="24"/>
        </w:rPr>
        <w:tab/>
      </w:r>
      <w:r>
        <w:rPr>
          <w:rFonts w:hint="default" w:ascii="Times New Roman" w:hAnsi="Times New Roman" w:eastAsia="宋体" w:cs="Times New Roman"/>
          <w:color w:val="FF0000"/>
          <w:sz w:val="24"/>
        </w:rPr>
        <w:tab/>
      </w:r>
      <w:r>
        <w:rPr>
          <w:rFonts w:hint="default" w:ascii="Times New Roman" w:hAnsi="Times New Roman" w:eastAsia="宋体" w:cs="Times New Roman"/>
          <w:color w:val="FF0000"/>
          <w:sz w:val="24"/>
        </w:rPr>
        <w:tab/>
      </w:r>
      <w:r>
        <w:rPr>
          <w:rFonts w:hint="default" w:ascii="Times New Roman" w:hAnsi="Times New Roman" w:eastAsia="宋体" w:cs="Times New Roman"/>
          <w:color w:val="FF0000"/>
          <w:sz w:val="24"/>
        </w:rPr>
        <w:tab/>
      </w:r>
      <w:r>
        <w:rPr>
          <w:rFonts w:hint="default" w:ascii="Times New Roman" w:hAnsi="Times New Roman" w:eastAsia="宋体" w:cs="Times New Roman"/>
          <w:color w:val="FF0000"/>
          <w:sz w:val="24"/>
        </w:rPr>
        <w:tab/>
      </w:r>
      <w:r>
        <w:rPr>
          <w:rFonts w:hint="default" w:ascii="Times New Roman" w:hAnsi="Times New Roman" w:eastAsia="宋体" w:cs="Times New Roman"/>
          <w:color w:val="FF0000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</w:rPr>
        <w:t xml:space="preserve"> (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24"/>
        </w:rPr>
        <w:t>)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FF0000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</w:rPr>
        <w:t>式中：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position w:val="-10"/>
          <w:sz w:val="24"/>
          <w:szCs w:val="24"/>
        </w:rPr>
        <w:object>
          <v:shape id="_x0000_i1029" o:spt="75" type="#_x0000_t75" style="height:17pt;width:1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—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被校点介质损耗因数实际值</w:t>
      </w:r>
      <w:r>
        <w:rPr>
          <w:rFonts w:hint="default" w:ascii="Times New Roman" w:hAnsi="Times New Roman" w:eastAsia="宋体" w:cs="Times New Roman"/>
          <w:color w:val="auto"/>
          <w:sz w:val="24"/>
        </w:rPr>
        <w:t>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position w:val="-4"/>
          <w:sz w:val="24"/>
          <w:szCs w:val="24"/>
        </w:rPr>
        <w:object>
          <v:shape id="_x0000_i1030" o:spt="75" type="#_x0000_t75" style="height:13pt;width:20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—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被校点和高压标准电容器的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介质损耗因数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差值</w:t>
      </w:r>
      <w:r>
        <w:rPr>
          <w:rFonts w:hint="default" w:ascii="Times New Roman" w:hAnsi="Times New Roman" w:eastAsia="宋体" w:cs="Times New Roman"/>
          <w:color w:val="auto"/>
          <w:sz w:val="24"/>
        </w:rPr>
        <w:t>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position w:val="-12"/>
          <w:sz w:val="24"/>
          <w:szCs w:val="24"/>
        </w:rPr>
        <w:object>
          <v:shape id="_x0000_i1031" o:spt="75" type="#_x0000_t75" style="height:18pt;width:16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—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高压标准电容器的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介质损耗因数实际值。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测量不确定度分量</w:t>
      </w:r>
    </w:p>
    <w:p>
      <w:pPr>
        <w:numPr>
          <w:ilvl w:val="0"/>
          <w:numId w:val="3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测量重复性引入的标准不确定度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32" o:spt="75" type="#_x0000_t75" style="height:17pt;width:12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，A类评定</w:t>
      </w:r>
    </w:p>
    <w:p>
      <w:pPr>
        <w:spacing w:line="360" w:lineRule="auto"/>
        <w:ind w:left="9" w:firstLine="535" w:firstLineChars="223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在重复性条件下，对被校点进行10次独立重复测量，</w:t>
      </w:r>
      <w:r>
        <w:rPr>
          <w:rFonts w:hint="default" w:ascii="Times New Roman" w:hAnsi="Times New Roman" w:eastAsia="宋体" w:cs="Times New Roman"/>
          <w:sz w:val="24"/>
          <w:szCs w:val="24"/>
        </w:rPr>
        <w:t>得到的测量结果如附表1所示。</w:t>
      </w:r>
    </w:p>
    <w:p>
      <w:pPr>
        <w:spacing w:line="360" w:lineRule="auto"/>
        <w:ind w:left="9" w:firstLine="535" w:firstLineChars="223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平均值 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33" o:spt="75" type="#_x0000_t75" style="height:19pt;width:19.9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0.01001</w:t>
      </w:r>
    </w:p>
    <w:p>
      <w:pPr>
        <w:spacing w:line="360" w:lineRule="auto"/>
        <w:ind w:left="9" w:firstLine="535" w:firstLineChars="223"/>
        <w:jc w:val="left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准偏差 </w:t>
      </w:r>
      <w:r>
        <w:rPr>
          <w:rFonts w:hint="default" w:ascii="Times New Roman" w:hAnsi="Times New Roman" w:eastAsia="宋体" w:cs="Times New Roman"/>
          <w:position w:val="-30"/>
          <w:sz w:val="24"/>
          <w:szCs w:val="24"/>
        </w:rPr>
        <w:object>
          <v:shape id="_x0000_i1034" o:spt="75" type="#_x0000_t75" style="height:38pt;width:141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0.000001</w:t>
      </w:r>
    </w:p>
    <w:p>
      <w:pPr>
        <w:spacing w:line="360" w:lineRule="auto"/>
        <w:ind w:left="9" w:firstLine="535" w:firstLineChars="223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单次测量结果的标准不确定度为</w:t>
      </w: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035" o:spt="75" type="#_x0000_t75" style="height:18pt;width:51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高压电容电桥</w:t>
      </w:r>
      <w:r>
        <w:rPr>
          <w:rFonts w:hint="default" w:ascii="Times New Roman" w:hAnsi="Times New Roman" w:eastAsia="宋体" w:cs="Times New Roman"/>
          <w:sz w:val="24"/>
          <w:szCs w:val="24"/>
        </w:rPr>
        <w:t>引入的标准不确定度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36" o:spt="75" type="#_x0000_t75" style="height:17pt;width:13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，B类评定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高压电容电桥</w:t>
      </w:r>
      <w:r>
        <w:rPr>
          <w:rFonts w:hint="default" w:ascii="Times New Roman" w:hAnsi="Times New Roman" w:eastAsia="宋体" w:cs="Times New Roman"/>
          <w:sz w:val="24"/>
          <w:szCs w:val="24"/>
        </w:rPr>
        <w:t>经上级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检定合格</w:t>
      </w:r>
      <w:r>
        <w:rPr>
          <w:rFonts w:hint="default" w:ascii="Times New Roman" w:hAnsi="Times New Roman" w:eastAsia="宋体" w:cs="Times New Roman"/>
          <w:sz w:val="24"/>
          <w:szCs w:val="24"/>
        </w:rPr>
        <w:t>，在该校准点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的损耗因数</w:t>
      </w:r>
      <w:r>
        <w:rPr>
          <w:rFonts w:hint="default" w:ascii="Times New Roman" w:hAnsi="Times New Roman" w:eastAsia="宋体" w:cs="Times New Roman"/>
          <w:sz w:val="24"/>
          <w:szCs w:val="24"/>
        </w:rPr>
        <w:t>符合最大允许误差为±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0.00010</w:t>
      </w:r>
      <w:r>
        <w:rPr>
          <w:rFonts w:hint="default" w:ascii="Times New Roman" w:hAnsi="Times New Roman" w:eastAsia="宋体" w:cs="Times New Roman"/>
          <w:sz w:val="24"/>
          <w:szCs w:val="24"/>
        </w:rPr>
        <w:t>的技术指标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，按均匀分布计算，则由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高压电容电桥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引入的标准不确定度为</w:t>
      </w:r>
      <w:r>
        <w:rPr>
          <w:rFonts w:hint="default" w:ascii="Times New Roman" w:hAnsi="Times New Roman" w:eastAsia="宋体" w:cs="Times New Roman"/>
          <w:position w:val="-28"/>
          <w:sz w:val="24"/>
          <w:szCs w:val="24"/>
        </w:rPr>
        <w:object>
          <v:shape id="_x0000_i1037" o:spt="75" type="#_x0000_t75" style="height:33pt;width:67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0.000058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高压标准电容器</w:t>
      </w:r>
      <w:r>
        <w:rPr>
          <w:rFonts w:hint="default" w:ascii="Times New Roman" w:hAnsi="Times New Roman" w:eastAsia="宋体" w:cs="Times New Roman"/>
          <w:sz w:val="24"/>
          <w:szCs w:val="24"/>
        </w:rPr>
        <w:t>引入的标准不确定度</w:t>
      </w: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038" o:spt="75" type="#_x0000_t75" style="height:18pt;width:13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，B类评定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高压标准电容器</w:t>
      </w:r>
      <w:r>
        <w:rPr>
          <w:rFonts w:hint="default" w:ascii="Times New Roman" w:hAnsi="Times New Roman" w:eastAsia="宋体" w:cs="Times New Roman"/>
          <w:sz w:val="24"/>
          <w:szCs w:val="24"/>
        </w:rPr>
        <w:t>经上级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检定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测量不确定度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U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=0.00002 (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=2)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，按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正态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分布计算，则由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高压标准电容器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引入的标准不确定度为</w:t>
      </w:r>
      <w:r>
        <w:rPr>
          <w:rFonts w:hint="default" w:ascii="Times New Roman" w:hAnsi="Times New Roman" w:eastAsia="宋体" w:cs="Times New Roman"/>
          <w:position w:val="-24"/>
          <w:sz w:val="24"/>
          <w:szCs w:val="24"/>
        </w:rPr>
        <w:object>
          <v:shape id="_x0000_i1039" o:spt="75" type="#_x0000_t75" style="height:31pt;width:117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环境条件等引入的标准不确定度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40" o:spt="75" type="#_x0000_t75" style="height:17pt;width:13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，B类评定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实验室环境条件符合校准规范的要求，影响量可忽略，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41" o:spt="75" type="#_x0000_t75" style="height:17pt;width:31.9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合成标准不确定度</w:t>
      </w:r>
    </w:p>
    <w:p>
      <w:pPr>
        <w:snapToGrid w:val="0"/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各输入量互不相关，且灵敏系数为1，则合成标准不确定度为</w:t>
      </w:r>
    </w:p>
    <w:p>
      <w:pPr>
        <w:snapToGrid w:val="0"/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position w:val="-14"/>
          <w:sz w:val="24"/>
          <w:szCs w:val="24"/>
        </w:rPr>
        <w:object>
          <v:shape id="_x0000_i1042" o:spt="75" type="#_x0000_t75" style="height:23pt;width:113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0.000059</w:t>
      </w:r>
    </w:p>
    <w:p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sz w:val="24"/>
          <w:szCs w:val="24"/>
        </w:rPr>
        <w:t>扩展不确定度</w:t>
      </w:r>
    </w:p>
    <w:p>
      <w:pPr>
        <w:snapToGrid w:val="0"/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取包含因子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</w:rPr>
        <w:t>=2，测量不确定度为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43" o:spt="75" type="#_x0000_t75" style="height:13pt;width:13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=2×</w:t>
      </w: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044" o:spt="75" type="#_x0000_t75" style="height:18pt;width:13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0.00012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(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</w:rPr>
        <w:t>=2)。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表1  测量结果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7"/>
        <w:gridCol w:w="4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次数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介质损耗因数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实测值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平均值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标准差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0.000001</w:t>
            </w:r>
          </w:p>
        </w:tc>
      </w:tr>
    </w:tbl>
    <w:p>
      <w:pPr>
        <w:snapToGrid w:val="0"/>
        <w:spacing w:line="360" w:lineRule="auto"/>
        <w:jc w:val="center"/>
        <w:rPr>
          <w:szCs w:val="21"/>
        </w:rPr>
      </w:pPr>
    </w:p>
    <w:p>
      <w:pPr>
        <w:rPr>
          <w:rFonts w:hint="eastAsia" w:ascii="黑体" w:eastAsia="黑体"/>
          <w:sz w:val="28"/>
          <w:szCs w:val="28"/>
        </w:rPr>
      </w:pPr>
      <w:bookmarkStart w:id="3" w:name="_Toc18323"/>
      <w:r>
        <w:rPr>
          <w:rFonts w:hint="eastAsia" w:ascii="黑体" w:eastAsia="黑体"/>
          <w:sz w:val="28"/>
          <w:szCs w:val="28"/>
        </w:rPr>
        <w:br w:type="page"/>
      </w:r>
    </w:p>
    <w:p>
      <w:pPr>
        <w:outlineLvl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二、 电容量</w:t>
      </w:r>
      <w:r>
        <w:rPr>
          <w:rFonts w:hint="eastAsia" w:ascii="黑体" w:eastAsia="黑体"/>
          <w:sz w:val="28"/>
          <w:szCs w:val="28"/>
        </w:rPr>
        <w:t>测量不确定度的评定</w:t>
      </w:r>
      <w:bookmarkEnd w:id="3"/>
    </w:p>
    <w:p>
      <w:pPr>
        <w:numPr>
          <w:ilvl w:val="0"/>
          <w:numId w:val="4"/>
        </w:numPr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测量方法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</w:rPr>
        <w:t>用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高压电容电桥测量被校高压介损标准器</w:t>
      </w:r>
      <w:r>
        <w:rPr>
          <w:rFonts w:hint="default" w:ascii="Times New Roman" w:hAnsi="Times New Roman" w:eastAsia="宋体" w:cs="Times New Roman"/>
          <w:sz w:val="24"/>
        </w:rPr>
        <w:t>。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被校高压介损标准器的工作频率为50 Hz，额定电压为10 kV，电容标称值为100 pF；高压电容电桥的电容比率准确度级别为0.005级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高压标准电容器的电容量实际值为</w:t>
      </w:r>
      <w:r>
        <w:rPr>
          <w:rFonts w:hint="default" w:ascii="Times New Roman" w:hAnsi="Times New Roman" w:eastAsia="宋体" w:cs="Times New Roman"/>
          <w:color w:val="FF0000"/>
          <w:position w:val="-12"/>
          <w:sz w:val="24"/>
          <w:szCs w:val="24"/>
        </w:rPr>
        <w:object>
          <v:shape id="_x0000_i1045" o:spt="75" type="#_x0000_t75" style="height:18pt;width:26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100.12 pF，测量不确定度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U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vertAlign w:val="subscript"/>
          <w:lang w:val="en-US" w:eastAsia="zh-CN"/>
        </w:rPr>
        <w:t>rel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=0.02% (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=2)。</w:t>
      </w:r>
      <w:r>
        <w:rPr>
          <w:rFonts w:hint="default" w:ascii="Times New Roman" w:hAnsi="Times New Roman" w:eastAsia="宋体" w:cs="Times New Roman"/>
          <w:sz w:val="24"/>
        </w:rPr>
        <w:t>评定测量不确定度过程如下。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测量模型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/>
        <w:jc w:val="right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color w:val="auto"/>
          <w:position w:val="-12"/>
          <w:sz w:val="24"/>
          <w:szCs w:val="24"/>
        </w:rPr>
        <w:object>
          <v:shape id="_x0000_i1046" o:spt="75" type="#_x0000_t75" style="height:18pt;width:125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</w:rPr>
        <w:tab/>
      </w:r>
      <w:r>
        <w:rPr>
          <w:rFonts w:hint="default" w:ascii="Times New Roman" w:hAnsi="Times New Roman" w:eastAsia="宋体" w:cs="Times New Roman"/>
          <w:sz w:val="24"/>
        </w:rPr>
        <w:tab/>
      </w:r>
      <w:r>
        <w:rPr>
          <w:rFonts w:hint="default" w:ascii="Times New Roman" w:hAnsi="Times New Roman" w:eastAsia="宋体" w:cs="Times New Roman"/>
          <w:sz w:val="24"/>
        </w:rPr>
        <w:tab/>
      </w:r>
      <w:r>
        <w:rPr>
          <w:rFonts w:hint="default" w:ascii="Times New Roman" w:hAnsi="Times New Roman" w:eastAsia="宋体" w:cs="Times New Roman"/>
          <w:sz w:val="24"/>
        </w:rPr>
        <w:tab/>
      </w:r>
      <w:r>
        <w:rPr>
          <w:rFonts w:hint="default" w:ascii="Times New Roman" w:hAnsi="Times New Roman" w:eastAsia="宋体" w:cs="Times New Roman"/>
          <w:sz w:val="24"/>
        </w:rPr>
        <w:tab/>
      </w:r>
      <w:r>
        <w:rPr>
          <w:rFonts w:hint="default" w:ascii="Times New Roman" w:hAnsi="Times New Roman" w:eastAsia="宋体" w:cs="Times New Roman"/>
          <w:sz w:val="24"/>
        </w:rPr>
        <w:t xml:space="preserve"> (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ab/>
      </w:r>
      <w:r>
        <w:rPr>
          <w:rFonts w:hint="default" w:ascii="Times New Roman" w:hAnsi="Times New Roman" w:eastAsia="宋体" w:cs="Times New Roman"/>
          <w:sz w:val="24"/>
        </w:rPr>
        <w:t>式中：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position w:val="-10"/>
          <w:sz w:val="24"/>
          <w:szCs w:val="24"/>
        </w:rPr>
        <w:object>
          <v:shape id="_x0000_i1047" o:spt="75" type="#_x0000_t75" style="height:17pt;width:17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—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被</w:t>
      </w:r>
      <w:r>
        <w:rPr>
          <w:rFonts w:hint="default" w:ascii="Times New Roman" w:hAnsi="Times New Roman" w:eastAsia="宋体" w:cs="Times New Roman"/>
          <w:color w:val="auto"/>
          <w:sz w:val="24"/>
        </w:rPr>
        <w:t>校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点</w:t>
      </w:r>
      <w:r>
        <w:rPr>
          <w:rFonts w:hint="default" w:ascii="Times New Roman" w:hAnsi="Times New Roman" w:eastAsia="宋体" w:cs="Times New Roman"/>
          <w:color w:val="auto"/>
          <w:sz w:val="24"/>
        </w:rPr>
        <w:t>的电容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量实际值</w:t>
      </w:r>
      <w:r>
        <w:rPr>
          <w:rFonts w:hint="default" w:ascii="Times New Roman" w:hAnsi="Times New Roman" w:eastAsia="宋体" w:cs="Times New Roman"/>
          <w:color w:val="auto"/>
          <w:sz w:val="24"/>
        </w:rPr>
        <w:t>，F；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position w:val="-4"/>
          <w:sz w:val="24"/>
          <w:szCs w:val="24"/>
        </w:rPr>
        <w:object>
          <v:shape id="_x0000_i1048" o:spt="75" type="#_x0000_t75" style="height:13pt;width:13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—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电桥的电容倍率示值，</w:t>
      </w:r>
      <w:r>
        <w:rPr>
          <w:rFonts w:hint="default" w:ascii="Times New Roman" w:hAnsi="Times New Roman" w:eastAsia="宋体" w:cs="Times New Roman"/>
          <w:color w:val="auto"/>
          <w:position w:val="-4"/>
          <w:sz w:val="24"/>
          <w:szCs w:val="24"/>
        </w:rPr>
        <w:object>
          <v:shape id="_x0000_i1049" o:spt="75" type="#_x0000_t75" style="height:13pt;width:2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position w:val="-4"/>
          <w:sz w:val="24"/>
          <w:szCs w:val="24"/>
        </w:rPr>
        <w:object>
          <v:shape id="_x0000_i1050" o:spt="75" type="#_x0000_t75" style="height:13pt;width:13.95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—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电桥的电容比率示值</w:t>
      </w:r>
      <w:r>
        <w:rPr>
          <w:rFonts w:hint="default" w:ascii="Times New Roman" w:hAnsi="Times New Roman" w:eastAsia="宋体" w:cs="Times New Roman"/>
          <w:color w:val="auto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position w:val="-12"/>
          <w:sz w:val="24"/>
          <w:szCs w:val="24"/>
        </w:rPr>
        <w:object>
          <v:shape id="_x0000_i1051" o:spt="75" type="#_x0000_t75" style="height:18pt;width:15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—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高压标准电容器的</w:t>
      </w:r>
      <w:r>
        <w:rPr>
          <w:rFonts w:hint="default" w:ascii="Times New Roman" w:hAnsi="Times New Roman" w:eastAsia="宋体" w:cs="Times New Roman"/>
          <w:color w:val="auto"/>
          <w:sz w:val="24"/>
        </w:rPr>
        <w:t>电容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量实际值</w:t>
      </w:r>
      <w:r>
        <w:rPr>
          <w:rFonts w:hint="default" w:ascii="Times New Roman" w:hAnsi="Times New Roman" w:eastAsia="宋体" w:cs="Times New Roman"/>
          <w:color w:val="auto"/>
          <w:sz w:val="24"/>
        </w:rPr>
        <w:t>，F</w:t>
      </w:r>
      <w:r>
        <w:rPr>
          <w:rFonts w:hint="default" w:ascii="Times New Roman" w:hAnsi="Times New Roman" w:eastAsia="宋体"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测量不确定度分量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测量重复性引入的标准不确定度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52" o:spt="75" type="#_x0000_t75" style="height:17pt;width:12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，A类评定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9" w:firstLine="535" w:firstLineChars="223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在重复性条件下，对被校点进行10次独立重复测量，</w:t>
      </w:r>
      <w:r>
        <w:rPr>
          <w:rFonts w:hint="default" w:ascii="Times New Roman" w:hAnsi="Times New Roman" w:eastAsia="宋体" w:cs="Times New Roman"/>
          <w:sz w:val="24"/>
          <w:szCs w:val="24"/>
        </w:rPr>
        <w:t>得到的测量结果如附表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9" w:firstLine="535" w:firstLineChars="223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平均值 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53" o:spt="75" type="#_x0000_t75" style="height:19pt;width:18.9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100.08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pF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9" w:firstLine="535" w:firstLineChars="223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准偏差 </w:t>
      </w:r>
      <w:r>
        <w:rPr>
          <w:rFonts w:hint="default" w:ascii="Times New Roman" w:hAnsi="Times New Roman" w:eastAsia="宋体" w:cs="Times New Roman"/>
          <w:position w:val="-30"/>
          <w:sz w:val="24"/>
          <w:szCs w:val="24"/>
        </w:rPr>
        <w:object>
          <v:shape id="_x0000_i1054" o:spt="75" type="#_x0000_t75" style="height:38pt;width:138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=0.0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002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pF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9" w:firstLine="535" w:firstLineChars="223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单次测量结果的标准不确定度为</w:t>
      </w: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055" o:spt="75" type="#_x0000_t75" style="height:18pt;width:49.95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高压电容电桥</w:t>
      </w:r>
      <w:r>
        <w:rPr>
          <w:rFonts w:hint="default" w:ascii="Times New Roman" w:hAnsi="Times New Roman" w:eastAsia="宋体" w:cs="Times New Roman"/>
          <w:sz w:val="24"/>
          <w:szCs w:val="24"/>
        </w:rPr>
        <w:t>引入的标准不确定度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56" o:spt="75" type="#_x0000_t75" style="height:17pt;width:13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，B类评定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高压电容电桥</w:t>
      </w:r>
      <w:r>
        <w:rPr>
          <w:rFonts w:hint="default" w:ascii="Times New Roman" w:hAnsi="Times New Roman" w:eastAsia="宋体" w:cs="Times New Roman"/>
          <w:sz w:val="24"/>
          <w:szCs w:val="24"/>
        </w:rPr>
        <w:t>经上级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检定合格</w:t>
      </w:r>
      <w:r>
        <w:rPr>
          <w:rFonts w:hint="default" w:ascii="Times New Roman" w:hAnsi="Times New Roman" w:eastAsia="宋体" w:cs="Times New Roman"/>
          <w:sz w:val="24"/>
          <w:szCs w:val="24"/>
        </w:rPr>
        <w:t>，在该校准点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的电容比率</w:t>
      </w:r>
      <w:r>
        <w:rPr>
          <w:rFonts w:hint="default" w:ascii="Times New Roman" w:hAnsi="Times New Roman" w:eastAsia="宋体" w:cs="Times New Roman"/>
          <w:sz w:val="24"/>
          <w:szCs w:val="24"/>
        </w:rPr>
        <w:t>符合最大允许误差为±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0.00005</w:t>
      </w:r>
      <w:r>
        <w:rPr>
          <w:rFonts w:hint="default" w:ascii="Times New Roman" w:hAnsi="Times New Roman" w:eastAsia="宋体" w:cs="Times New Roman"/>
          <w:sz w:val="24"/>
          <w:szCs w:val="24"/>
        </w:rPr>
        <w:t>的技术指标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，按均匀分布计算，</w:t>
      </w:r>
      <w:r>
        <w:rPr>
          <w:rFonts w:hint="default" w:ascii="Times New Roman" w:hAnsi="Times New Roman" w:eastAsia="宋体" w:cs="Times New Roman"/>
          <w:position w:val="-28"/>
          <w:sz w:val="24"/>
          <w:szCs w:val="24"/>
        </w:rPr>
        <w:object>
          <v:shape id="_x0000_i1057" o:spt="75" type="#_x0000_t75" style="height:33pt;width:81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=0.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000029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</w:rPr>
        <w:t>其灵敏度系数为</w:t>
      </w:r>
      <w:r>
        <w:rPr>
          <w:rFonts w:hint="default" w:ascii="Times New Roman" w:hAnsi="Times New Roman" w:eastAsia="宋体" w:cs="Times New Roman"/>
          <w:position w:val="-24"/>
          <w:sz w:val="24"/>
          <w:szCs w:val="24"/>
        </w:rPr>
        <w:object>
          <v:shape id="_x0000_i1058" o:spt="75" type="#_x0000_t75" style="height:31pt;width:70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6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则由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高压电容电桥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引入的标准不确定度为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59" o:spt="75" type="#_x0000_t75" style="height:17pt;width:70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=0.0029 pF。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高压标准电容器</w:t>
      </w:r>
      <w:r>
        <w:rPr>
          <w:rFonts w:hint="default" w:ascii="Times New Roman" w:hAnsi="Times New Roman" w:eastAsia="宋体" w:cs="Times New Roman"/>
          <w:sz w:val="24"/>
          <w:szCs w:val="24"/>
        </w:rPr>
        <w:t>引入的标准不确定度</w:t>
      </w: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060" o:spt="75" type="#_x0000_t75" style="height:18pt;width:13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，B类评定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高压标准电容器</w:t>
      </w:r>
      <w:r>
        <w:rPr>
          <w:rFonts w:hint="default" w:ascii="Times New Roman" w:hAnsi="Times New Roman" w:eastAsia="宋体" w:cs="Times New Roman"/>
          <w:sz w:val="24"/>
          <w:szCs w:val="24"/>
        </w:rPr>
        <w:t>经上级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检定合格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测量不确定度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U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vertAlign w:val="subscript"/>
          <w:lang w:val="en-US" w:eastAsia="zh-CN"/>
        </w:rPr>
        <w:t>rel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=0.02% (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=2)，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按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正态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分布计算，</w:t>
      </w:r>
      <w:r>
        <w:rPr>
          <w:rFonts w:hint="default" w:ascii="Times New Roman" w:hAnsi="Times New Roman" w:eastAsia="宋体" w:cs="Times New Roman"/>
          <w:position w:val="-24"/>
          <w:sz w:val="24"/>
          <w:szCs w:val="24"/>
        </w:rPr>
        <w:object>
          <v:shape id="_x0000_i1061" o:spt="75" type="#_x0000_t75" style="height:31pt;width:137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pF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</w:rPr>
        <w:t>其灵敏度系数为</w:t>
      </w:r>
      <w:r>
        <w:rPr>
          <w:rFonts w:hint="default" w:ascii="Times New Roman" w:hAnsi="Times New Roman" w:eastAsia="宋体" w:cs="Times New Roman"/>
          <w:position w:val="-30"/>
          <w:sz w:val="24"/>
          <w:szCs w:val="24"/>
        </w:rPr>
        <w:object>
          <v:shape id="_x0000_i1062" o:spt="75" type="#_x0000_t75" style="height:34pt;width:71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则由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高压标准电容器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引入的标准不确定度为</w:t>
      </w: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063" o:spt="75" type="#_x0000_t75" style="height:18pt;width:73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=0.010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pF。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环境条件等引入的标准不确定度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64" o:spt="75" type="#_x0000_t75" style="height:17pt;width:13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，B类评定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实验室环境条件符合校准规范的要求，影响量可忽略，</w:t>
      </w:r>
      <w:r>
        <w:rPr>
          <w:rFonts w:hint="default" w:ascii="Times New Roman" w:hAnsi="Times New Roman" w:eastAsia="宋体" w:cs="Times New Roman"/>
          <w:position w:val="-10"/>
          <w:sz w:val="24"/>
          <w:szCs w:val="24"/>
        </w:rPr>
        <w:object>
          <v:shape id="_x0000_i1065" o:spt="75" type="#_x0000_t75" style="height:17pt;width:31.9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合成标准不确定度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各输入量互不相关，且灵敏系数为1，则合成标准不确定度为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position w:val="-14"/>
          <w:sz w:val="24"/>
          <w:szCs w:val="24"/>
        </w:rPr>
        <w:object>
          <v:shape id="_x0000_i1066" o:spt="75" type="#_x0000_t75" style="height:23pt;width:123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2">
            <o:LockedField>false</o:LockedField>
          </o:OLEObject>
        </w:object>
      </w:r>
      <w:r>
        <w:rPr>
          <w:rFonts w:hint="eastAsia"/>
          <w:sz w:val="24"/>
          <w:szCs w:val="24"/>
        </w:rPr>
        <w:t>0.</w:t>
      </w:r>
      <w:r>
        <w:rPr>
          <w:rFonts w:hint="eastAsia"/>
          <w:sz w:val="24"/>
          <w:szCs w:val="24"/>
          <w:lang w:val="en-US" w:eastAsia="zh-CN"/>
        </w:rPr>
        <w:t>011</w:t>
      </w:r>
      <w:r>
        <w:rPr>
          <w:rFonts w:hint="eastAsia"/>
          <w:sz w:val="24"/>
          <w:szCs w:val="24"/>
        </w:rPr>
        <w:t xml:space="preserve"> pF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sz w:val="24"/>
          <w:szCs w:val="24"/>
        </w:rPr>
        <w:t>扩展不确定度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取包含因子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</w:rPr>
        <w:t>=2，测量不确定度为</w:t>
      </w:r>
      <w:r>
        <w:rPr>
          <w:rFonts w:hint="default" w:ascii="Times New Roman" w:hAnsi="Times New Roman" w:eastAsia="宋体" w:cs="Times New Roman"/>
          <w:position w:val="-6"/>
          <w:sz w:val="24"/>
          <w:szCs w:val="24"/>
        </w:rPr>
        <w:object>
          <v:shape id="_x0000_i1067" o:spt="75" type="#_x0000_t75" style="height:13pt;width:13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=2×</w:t>
      </w: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068" o:spt="75" type="#_x0000_t75" style="height:18pt;width:13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=0.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022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pF (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</w:rPr>
        <w:t>=2)，相对测量不确定度为</w:t>
      </w:r>
      <w:r>
        <w:rPr>
          <w:rFonts w:hint="default" w:ascii="Times New Roman" w:hAnsi="Times New Roman" w:eastAsia="宋体" w:cs="Times New Roman"/>
          <w:position w:val="-12"/>
          <w:sz w:val="24"/>
          <w:szCs w:val="24"/>
        </w:rPr>
        <w:object>
          <v:shape id="_x0000_i1069" o:spt="75" type="#_x0000_t75" style="height:20pt;width:74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8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3×10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vertAlign w:val="superscript"/>
        </w:rPr>
        <w:t>-4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(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</w:rPr>
        <w:t>=2)。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表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Cs w:val="21"/>
        </w:rPr>
        <w:t xml:space="preserve">  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电容量</w:t>
      </w:r>
      <w:r>
        <w:rPr>
          <w:rFonts w:hint="default" w:ascii="Times New Roman" w:hAnsi="Times New Roman" w:eastAsia="宋体" w:cs="Times New Roman"/>
          <w:szCs w:val="21"/>
        </w:rPr>
        <w:t>测量结果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7"/>
        <w:gridCol w:w="4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次数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电容实测值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pF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平均值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5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标准差</w:t>
            </w:r>
          </w:p>
        </w:tc>
        <w:tc>
          <w:tcPr>
            <w:tcW w:w="47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</w:t>
            </w:r>
          </w:p>
        </w:tc>
      </w:tr>
    </w:tbl>
    <w:p>
      <w:pPr>
        <w:jc w:val="right"/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413090"/>
    <w:multiLevelType w:val="singleLevel"/>
    <w:tmpl w:val="85413090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27FF2E01"/>
    <w:multiLevelType w:val="multilevel"/>
    <w:tmpl w:val="27FF2E01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eastAsia" w:ascii="黑体" w:eastAsia="黑体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1107"/>
        </w:tabs>
        <w:ind w:left="1107" w:hanging="567"/>
      </w:pPr>
      <w:rPr>
        <w:rFonts w:hint="eastAsia" w:ascii="宋体" w:hAnsi="宋体" w:eastAsia="宋体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"/>
      <w:lvlJc w:val="left"/>
      <w:pPr>
        <w:tabs>
          <w:tab w:val="left" w:pos="1277"/>
        </w:tabs>
        <w:ind w:left="1277" w:hanging="709"/>
      </w:pPr>
      <w:rPr>
        <w:rFonts w:hint="eastAsia" w:ascii="Arial" w:hAnsi="Arial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Arial" w:hAnsi="Arial" w:cs="Arial"/>
        <w:b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4E23197D"/>
    <w:multiLevelType w:val="singleLevel"/>
    <w:tmpl w:val="4E23197D"/>
    <w:lvl w:ilvl="0" w:tentative="0">
      <w:start w:val="1"/>
      <w:numFmt w:val="decimal"/>
      <w:suff w:val="space"/>
      <w:lvlText w:val="(%1)"/>
      <w:lvlJc w:val="left"/>
    </w:lvl>
  </w:abstractNum>
  <w:abstractNum w:abstractNumId="3">
    <w:nsid w:val="5B32BEB1"/>
    <w:multiLevelType w:val="singleLevel"/>
    <w:tmpl w:val="5B32BEB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1830C24"/>
    <w:multiLevelType w:val="multilevel"/>
    <w:tmpl w:val="71830C2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vertAlign w:val="baseline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080"/>
        </w:tabs>
        <w:ind w:left="1080" w:hanging="10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lZjg2NTcwMDRlZTVkOTUzOTA2ODk3MDgxMGQ2NmEifQ=="/>
  </w:docVars>
  <w:rsids>
    <w:rsidRoot w:val="00E7363B"/>
    <w:rsid w:val="0000540E"/>
    <w:rsid w:val="000D50AC"/>
    <w:rsid w:val="00146B5A"/>
    <w:rsid w:val="00171D58"/>
    <w:rsid w:val="001A1F28"/>
    <w:rsid w:val="001E22CB"/>
    <w:rsid w:val="001E518D"/>
    <w:rsid w:val="00287D86"/>
    <w:rsid w:val="00315B67"/>
    <w:rsid w:val="00390950"/>
    <w:rsid w:val="00423906"/>
    <w:rsid w:val="004B1C1B"/>
    <w:rsid w:val="004E0CD6"/>
    <w:rsid w:val="004F592E"/>
    <w:rsid w:val="005737AB"/>
    <w:rsid w:val="005E7A8C"/>
    <w:rsid w:val="00613493"/>
    <w:rsid w:val="006958DD"/>
    <w:rsid w:val="006F3A8C"/>
    <w:rsid w:val="00702800"/>
    <w:rsid w:val="00724315"/>
    <w:rsid w:val="0073288F"/>
    <w:rsid w:val="00876DB3"/>
    <w:rsid w:val="008F6CEF"/>
    <w:rsid w:val="0090589F"/>
    <w:rsid w:val="00984853"/>
    <w:rsid w:val="00997F5E"/>
    <w:rsid w:val="009C7331"/>
    <w:rsid w:val="009E0C11"/>
    <w:rsid w:val="00A82C95"/>
    <w:rsid w:val="00B01496"/>
    <w:rsid w:val="00BD64BE"/>
    <w:rsid w:val="00BF36BC"/>
    <w:rsid w:val="00CE18FE"/>
    <w:rsid w:val="00D16E0A"/>
    <w:rsid w:val="00E07FFC"/>
    <w:rsid w:val="00E34AD3"/>
    <w:rsid w:val="00E35B83"/>
    <w:rsid w:val="00E7363B"/>
    <w:rsid w:val="00E80F20"/>
    <w:rsid w:val="00E94E59"/>
    <w:rsid w:val="00F52C47"/>
    <w:rsid w:val="00F81BD0"/>
    <w:rsid w:val="092248A9"/>
    <w:rsid w:val="0DBA12E6"/>
    <w:rsid w:val="102D030C"/>
    <w:rsid w:val="138B1089"/>
    <w:rsid w:val="14331E97"/>
    <w:rsid w:val="14C1341E"/>
    <w:rsid w:val="15DC4E6F"/>
    <w:rsid w:val="18C20387"/>
    <w:rsid w:val="20BF0717"/>
    <w:rsid w:val="239077E7"/>
    <w:rsid w:val="23912612"/>
    <w:rsid w:val="23983A20"/>
    <w:rsid w:val="27C064D0"/>
    <w:rsid w:val="2B030A92"/>
    <w:rsid w:val="34883C71"/>
    <w:rsid w:val="392413A2"/>
    <w:rsid w:val="3D9354CB"/>
    <w:rsid w:val="408B4299"/>
    <w:rsid w:val="4292033E"/>
    <w:rsid w:val="45A46C87"/>
    <w:rsid w:val="4D8C33FE"/>
    <w:rsid w:val="528B715B"/>
    <w:rsid w:val="588E3B4D"/>
    <w:rsid w:val="6B0D4A2E"/>
    <w:rsid w:val="6F0A18C8"/>
    <w:rsid w:val="71893B7B"/>
    <w:rsid w:val="758D0287"/>
    <w:rsid w:val="7B8E01BE"/>
    <w:rsid w:val="7C4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numPr>
        <w:ilvl w:val="0"/>
        <w:numId w:val="1"/>
      </w:numPr>
      <w:snapToGrid w:val="0"/>
      <w:spacing w:before="156" w:beforeLines="50" w:after="156" w:afterLines="50" w:line="360" w:lineRule="auto"/>
      <w:jc w:val="left"/>
      <w:outlineLvl w:val="0"/>
    </w:pPr>
    <w:rPr>
      <w:rFonts w:ascii="黑体" w:eastAsia="黑体"/>
      <w:color w:val="000000"/>
      <w:sz w:val="24"/>
      <w:szCs w:val="24"/>
    </w:rPr>
  </w:style>
  <w:style w:type="paragraph" w:styleId="3">
    <w:name w:val="heading 2"/>
    <w:basedOn w:val="1"/>
    <w:next w:val="1"/>
    <w:link w:val="13"/>
    <w:autoRedefine/>
    <w:qFormat/>
    <w:uiPriority w:val="9"/>
    <w:pPr>
      <w:keepNext/>
      <w:widowControl/>
      <w:spacing w:before="240" w:after="60" w:line="300" w:lineRule="auto"/>
      <w:jc w:val="left"/>
      <w:outlineLvl w:val="1"/>
    </w:pPr>
    <w:rPr>
      <w:rFonts w:ascii="Cambria" w:hAnsi="Cambria" w:eastAsia="宋体" w:cs="Times New Roman"/>
      <w:b/>
      <w:bCs/>
      <w:iCs/>
      <w:kern w:val="0"/>
      <w:sz w:val="24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9"/>
    <w:link w:val="3"/>
    <w:qFormat/>
    <w:uiPriority w:val="9"/>
    <w:rPr>
      <w:rFonts w:ascii="Cambria" w:hAnsi="Cambria" w:eastAsia="宋体" w:cs="Times New Roman"/>
      <w:b/>
      <w:bCs/>
      <w:iCs/>
      <w:kern w:val="0"/>
      <w:sz w:val="24"/>
      <w:szCs w:val="28"/>
    </w:rPr>
  </w:style>
  <w:style w:type="paragraph" w:styleId="14">
    <w:name w:val="No Spacing"/>
    <w:basedOn w:val="1"/>
    <w:qFormat/>
    <w:uiPriority w:val="1"/>
    <w:pPr>
      <w:widowControl/>
      <w:jc w:val="left"/>
    </w:pPr>
    <w:rPr>
      <w:rFonts w:ascii="Times New Roman" w:hAnsi="Times New Roman" w:eastAsia="宋体" w:cs="Times New Roman"/>
      <w:kern w:val="0"/>
      <w:sz w:val="24"/>
      <w:szCs w:val="32"/>
    </w:rPr>
  </w:style>
  <w:style w:type="character" w:customStyle="1" w:styleId="15">
    <w:name w:val="段 Char"/>
    <w:link w:val="16"/>
    <w:qFormat/>
    <w:uiPriority w:val="0"/>
    <w:rPr>
      <w:rFonts w:ascii="宋体"/>
    </w:rPr>
  </w:style>
  <w:style w:type="paragraph" w:customStyle="1" w:styleId="16">
    <w:name w:val="段"/>
    <w:link w:val="15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160" w:line="259" w:lineRule="auto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标题 1 字符"/>
    <w:link w:val="2"/>
    <w:qFormat/>
    <w:uiPriority w:val="0"/>
    <w:rPr>
      <w:rFonts w:ascii="黑体" w:eastAsia="黑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0" Type="http://schemas.openxmlformats.org/officeDocument/2006/relationships/fontTable" Target="fontTable.xml"/><Relationship Id="rId9" Type="http://schemas.openxmlformats.org/officeDocument/2006/relationships/oleObject" Target="embeddings/oleObject3.bin"/><Relationship Id="rId89" Type="http://schemas.openxmlformats.org/officeDocument/2006/relationships/numbering" Target="numbering.xml"/><Relationship Id="rId88" Type="http://schemas.openxmlformats.org/officeDocument/2006/relationships/customXml" Target="../customXml/item1.xml"/><Relationship Id="rId87" Type="http://schemas.openxmlformats.org/officeDocument/2006/relationships/image" Target="media/image38.wmf"/><Relationship Id="rId86" Type="http://schemas.openxmlformats.org/officeDocument/2006/relationships/oleObject" Target="embeddings/oleObject45.bin"/><Relationship Id="rId85" Type="http://schemas.openxmlformats.org/officeDocument/2006/relationships/oleObject" Target="embeddings/oleObject44.bin"/><Relationship Id="rId84" Type="http://schemas.openxmlformats.org/officeDocument/2006/relationships/oleObject" Target="embeddings/oleObject43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2.bin"/><Relationship Id="rId81" Type="http://schemas.openxmlformats.org/officeDocument/2006/relationships/oleObject" Target="embeddings/oleObject41.bin"/><Relationship Id="rId80" Type="http://schemas.openxmlformats.org/officeDocument/2006/relationships/oleObject" Target="embeddings/oleObject40.bin"/><Relationship Id="rId8" Type="http://schemas.openxmlformats.org/officeDocument/2006/relationships/image" Target="media/image2.wmf"/><Relationship Id="rId79" Type="http://schemas.openxmlformats.org/officeDocument/2006/relationships/image" Target="media/image36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7.bin"/><Relationship Id="rId73" Type="http://schemas.openxmlformats.org/officeDocument/2006/relationships/oleObject" Target="embeddings/oleObject36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2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4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3.bin"/><Relationship Id="rId66" Type="http://schemas.openxmlformats.org/officeDocument/2006/relationships/oleObject" Target="embeddings/oleObject32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9.bin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541</Words>
  <Characters>3090</Characters>
  <Lines>25</Lines>
  <Paragraphs>7</Paragraphs>
  <TotalTime>5</TotalTime>
  <ScaleCrop>false</ScaleCrop>
  <LinksUpToDate>false</LinksUpToDate>
  <CharactersWithSpaces>3624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2021-12-07T02:49:00Z</dcterms:created>
  <dc:creator>Yang Yan</dc:creator>
  <cp:lastModifiedBy>daidongxue(青青妈)</cp:lastModifiedBy>
  <dcterms:modified xsi:type="dcterms:W3CDTF">2024-04-11T09:12:34Z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FDF72FE912B94EFD8C7A52488F8743CE</vt:lpwstr>
  </property>
</Properties>
</file>