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8EB964">
      <w:pPr>
        <w:spacing w:line="360" w:lineRule="auto"/>
        <w:ind w:left="-718" w:leftChars="-342"/>
        <w:jc w:val="center"/>
        <w:rPr>
          <w:rFonts w:ascii="宋体" w:hAnsi="宋体"/>
          <w:b/>
          <w:bCs/>
          <w:sz w:val="32"/>
        </w:rPr>
      </w:pPr>
      <w:r>
        <w:rPr>
          <w:rFonts w:hint="eastAsia"/>
          <w:b/>
          <w:bCs/>
          <w:sz w:val="32"/>
        </w:rPr>
        <w:t xml:space="preserve">    </w:t>
      </w:r>
    </w:p>
    <w:p w14:paraId="16B3582A">
      <w:pPr>
        <w:spacing w:line="360" w:lineRule="auto"/>
        <w:ind w:left="-342"/>
        <w:jc w:val="center"/>
        <w:rPr>
          <w:rFonts w:ascii="宋体" w:hAnsi="宋体"/>
          <w:b/>
          <w:bCs/>
          <w:sz w:val="48"/>
        </w:rPr>
      </w:pPr>
      <w:r>
        <w:rPr>
          <w:rFonts w:hint="eastAsia" w:ascii="宋体" w:hAnsi="宋体"/>
          <w:b/>
          <w:bCs/>
          <w:sz w:val="48"/>
        </w:rPr>
        <w:t>动态包裹计重系统校准规范</w:t>
      </w:r>
    </w:p>
    <w:p w14:paraId="77F11202">
      <w:pPr>
        <w:spacing w:line="360" w:lineRule="auto"/>
        <w:ind w:left="-342"/>
        <w:jc w:val="center"/>
        <w:rPr>
          <w:rFonts w:ascii="宋体" w:hAnsi="宋体"/>
          <w:b/>
          <w:bCs/>
          <w:sz w:val="48"/>
        </w:rPr>
      </w:pPr>
    </w:p>
    <w:p w14:paraId="60CF3D64">
      <w:pPr>
        <w:spacing w:line="360" w:lineRule="auto"/>
        <w:ind w:left="-342"/>
        <w:jc w:val="center"/>
        <w:rPr>
          <w:rFonts w:ascii="宋体" w:hAnsi="宋体"/>
          <w:b/>
          <w:bCs/>
          <w:sz w:val="48"/>
        </w:rPr>
      </w:pPr>
      <w:r>
        <w:rPr>
          <w:rFonts w:hint="eastAsia" w:ascii="宋体" w:hAnsi="宋体"/>
          <w:b/>
          <w:bCs/>
          <w:sz w:val="48"/>
        </w:rPr>
        <w:t>编 制 说 明</w:t>
      </w:r>
    </w:p>
    <w:p w14:paraId="3B406297">
      <w:pPr>
        <w:spacing w:line="360" w:lineRule="auto"/>
        <w:ind w:left="-342"/>
        <w:jc w:val="center"/>
        <w:rPr>
          <w:rFonts w:ascii="宋体" w:hAnsi="宋体"/>
          <w:b/>
          <w:bCs/>
          <w:sz w:val="44"/>
        </w:rPr>
      </w:pPr>
    </w:p>
    <w:p w14:paraId="2F3F9B3F">
      <w:pPr>
        <w:spacing w:line="360" w:lineRule="auto"/>
        <w:ind w:left="-342"/>
        <w:jc w:val="center"/>
        <w:rPr>
          <w:rFonts w:ascii="宋体" w:hAnsi="宋体"/>
          <w:b/>
          <w:bCs/>
          <w:sz w:val="44"/>
        </w:rPr>
      </w:pPr>
    </w:p>
    <w:p w14:paraId="48F5440D">
      <w:pPr>
        <w:spacing w:line="360" w:lineRule="auto"/>
        <w:ind w:left="-342"/>
        <w:jc w:val="center"/>
        <w:rPr>
          <w:rFonts w:ascii="宋体" w:hAnsi="宋体"/>
          <w:b/>
          <w:bCs/>
          <w:sz w:val="44"/>
        </w:rPr>
      </w:pPr>
    </w:p>
    <w:p w14:paraId="3B241D19">
      <w:pPr>
        <w:spacing w:line="360" w:lineRule="auto"/>
        <w:ind w:left="-342"/>
        <w:jc w:val="center"/>
        <w:rPr>
          <w:rFonts w:ascii="宋体" w:hAnsi="宋体"/>
          <w:b/>
          <w:bCs/>
          <w:sz w:val="44"/>
        </w:rPr>
      </w:pPr>
    </w:p>
    <w:p w14:paraId="2122A657">
      <w:pPr>
        <w:spacing w:line="360" w:lineRule="auto"/>
        <w:ind w:left="-342"/>
        <w:jc w:val="center"/>
        <w:rPr>
          <w:rFonts w:ascii="宋体" w:hAnsi="宋体"/>
          <w:b/>
          <w:bCs/>
          <w:sz w:val="44"/>
        </w:rPr>
      </w:pPr>
    </w:p>
    <w:p w14:paraId="1E9CC795">
      <w:pPr>
        <w:spacing w:line="360" w:lineRule="auto"/>
        <w:ind w:left="-342"/>
        <w:jc w:val="center"/>
        <w:rPr>
          <w:rFonts w:ascii="宋体" w:hAnsi="宋体"/>
          <w:b/>
          <w:bCs/>
          <w:sz w:val="44"/>
        </w:rPr>
      </w:pPr>
    </w:p>
    <w:p w14:paraId="4DF564F1">
      <w:pPr>
        <w:spacing w:line="360" w:lineRule="auto"/>
        <w:ind w:left="-342"/>
        <w:jc w:val="center"/>
        <w:rPr>
          <w:rFonts w:ascii="宋体" w:hAnsi="宋体"/>
          <w:b/>
          <w:bCs/>
          <w:sz w:val="44"/>
        </w:rPr>
      </w:pPr>
    </w:p>
    <w:p w14:paraId="0323540E">
      <w:pPr>
        <w:spacing w:line="360" w:lineRule="auto"/>
        <w:ind w:left="-342"/>
        <w:jc w:val="center"/>
        <w:rPr>
          <w:rFonts w:ascii="宋体" w:hAnsi="宋体"/>
          <w:b/>
          <w:bCs/>
          <w:sz w:val="44"/>
        </w:rPr>
      </w:pPr>
    </w:p>
    <w:p w14:paraId="5B3F4742">
      <w:pPr>
        <w:spacing w:line="360" w:lineRule="auto"/>
        <w:ind w:left="-342"/>
        <w:jc w:val="center"/>
        <w:rPr>
          <w:rFonts w:ascii="宋体" w:hAnsi="宋体"/>
          <w:b/>
          <w:bCs/>
          <w:sz w:val="44"/>
        </w:rPr>
      </w:pPr>
    </w:p>
    <w:p w14:paraId="77FCE9DC">
      <w:pPr>
        <w:spacing w:line="360" w:lineRule="auto"/>
        <w:ind w:left="-342"/>
        <w:jc w:val="center"/>
        <w:rPr>
          <w:rFonts w:ascii="宋体" w:hAnsi="宋体"/>
          <w:b/>
          <w:bCs/>
          <w:sz w:val="44"/>
        </w:rPr>
      </w:pPr>
    </w:p>
    <w:p w14:paraId="75B664C1">
      <w:pPr>
        <w:spacing w:line="360" w:lineRule="auto"/>
        <w:ind w:left="-342"/>
        <w:jc w:val="center"/>
        <w:rPr>
          <w:rFonts w:ascii="宋体" w:hAnsi="宋体"/>
          <w:sz w:val="32"/>
        </w:rPr>
      </w:pPr>
    </w:p>
    <w:p w14:paraId="6B9A5FB1">
      <w:pPr>
        <w:spacing w:line="360" w:lineRule="auto"/>
        <w:ind w:left="-342"/>
        <w:jc w:val="center"/>
        <w:rPr>
          <w:rFonts w:ascii="宋体" w:hAnsi="宋体"/>
          <w:sz w:val="32"/>
        </w:rPr>
      </w:pPr>
    </w:p>
    <w:p w14:paraId="5B5CEC73">
      <w:pPr>
        <w:spacing w:line="360" w:lineRule="auto"/>
        <w:ind w:left="-342"/>
        <w:jc w:val="center"/>
        <w:rPr>
          <w:rFonts w:ascii="宋体" w:hAnsi="宋体"/>
          <w:sz w:val="32"/>
        </w:rPr>
      </w:pPr>
    </w:p>
    <w:p w14:paraId="69FF7BFE">
      <w:pPr>
        <w:spacing w:line="360" w:lineRule="auto"/>
        <w:ind w:left="-342"/>
        <w:rPr>
          <w:rFonts w:ascii="宋体" w:hAnsi="宋体"/>
          <w:sz w:val="32"/>
        </w:rPr>
      </w:pPr>
    </w:p>
    <w:p w14:paraId="667EC007">
      <w:pPr>
        <w:spacing w:line="360" w:lineRule="auto"/>
        <w:ind w:left="-342"/>
        <w:jc w:val="center"/>
        <w:rPr>
          <w:rFonts w:ascii="宋体" w:hAnsi="宋体"/>
          <w:b/>
          <w:bCs/>
          <w:sz w:val="32"/>
        </w:rPr>
      </w:pPr>
      <w:r>
        <w:rPr>
          <w:rFonts w:hint="eastAsia" w:ascii="宋体" w:hAnsi="宋体"/>
          <w:b/>
          <w:bCs/>
          <w:sz w:val="32"/>
        </w:rPr>
        <w:t>动态包裹计重系统校准规范起草小组</w:t>
      </w:r>
    </w:p>
    <w:p w14:paraId="2B101F37">
      <w:pPr>
        <w:spacing w:line="360" w:lineRule="auto"/>
        <w:jc w:val="center"/>
        <w:rPr>
          <w:rFonts w:ascii="宋体" w:hAnsi="宋体"/>
          <w:b/>
          <w:bCs/>
          <w:sz w:val="32"/>
        </w:rPr>
      </w:pPr>
      <w:r>
        <w:rPr>
          <w:rFonts w:hint="eastAsia" w:ascii="宋体" w:hAnsi="宋体"/>
          <w:b/>
          <w:bCs/>
          <w:sz w:val="32"/>
        </w:rPr>
        <w:t>2</w:t>
      </w:r>
      <w:r>
        <w:rPr>
          <w:rFonts w:ascii="宋体" w:hAnsi="宋体"/>
          <w:b/>
          <w:bCs/>
          <w:sz w:val="32"/>
        </w:rPr>
        <w:t>02</w:t>
      </w:r>
      <w:r>
        <w:rPr>
          <w:rFonts w:hint="eastAsia" w:ascii="宋体" w:hAnsi="宋体"/>
          <w:b/>
          <w:bCs/>
          <w:sz w:val="32"/>
        </w:rPr>
        <w:t>4年</w:t>
      </w:r>
      <w:r>
        <w:rPr>
          <w:rFonts w:hint="eastAsia" w:ascii="宋体" w:hAnsi="宋体"/>
          <w:b/>
          <w:bCs/>
          <w:sz w:val="32"/>
          <w:lang w:val="en-US" w:eastAsia="zh-CN"/>
        </w:rPr>
        <w:t>9</w:t>
      </w:r>
      <w:r>
        <w:rPr>
          <w:rFonts w:hint="eastAsia" w:ascii="宋体" w:hAnsi="宋体"/>
          <w:b/>
          <w:bCs/>
          <w:sz w:val="32"/>
        </w:rPr>
        <w:t>月</w:t>
      </w:r>
    </w:p>
    <w:p w14:paraId="6B4C875E">
      <w:pPr>
        <w:spacing w:line="360" w:lineRule="auto"/>
        <w:ind w:left="-342"/>
        <w:rPr>
          <w:sz w:val="32"/>
        </w:rPr>
      </w:pPr>
    </w:p>
    <w:p w14:paraId="1C65DF72">
      <w:pPr>
        <w:jc w:val="center"/>
        <w:rPr>
          <w:b/>
          <w:sz w:val="32"/>
          <w:szCs w:val="32"/>
        </w:rPr>
      </w:pPr>
      <w:r>
        <w:rPr>
          <w:sz w:val="28"/>
          <w:szCs w:val="28"/>
        </w:rPr>
        <w:br w:type="page"/>
      </w:r>
      <w:r>
        <w:rPr>
          <w:rFonts w:hint="eastAsia"/>
          <w:b/>
          <w:sz w:val="32"/>
          <w:szCs w:val="32"/>
        </w:rPr>
        <w:t>《动态包裹计重系统校准规范》编制说明</w:t>
      </w:r>
    </w:p>
    <w:p w14:paraId="4A85070D">
      <w:pPr>
        <w:jc w:val="center"/>
        <w:rPr>
          <w:b/>
          <w:sz w:val="32"/>
          <w:szCs w:val="32"/>
        </w:rPr>
      </w:pPr>
    </w:p>
    <w:p w14:paraId="37C7BA39">
      <w:pPr>
        <w:rPr>
          <w:rFonts w:ascii="宋体" w:hAnsi="宋体"/>
          <w:b/>
          <w:sz w:val="24"/>
        </w:rPr>
      </w:pPr>
      <w:r>
        <w:rPr>
          <w:rFonts w:hint="eastAsia" w:ascii="宋体" w:hAnsi="宋体"/>
          <w:b/>
          <w:sz w:val="24"/>
        </w:rPr>
        <w:t>一、任务来源</w:t>
      </w:r>
    </w:p>
    <w:p w14:paraId="44DFD31F">
      <w:pPr>
        <w:pStyle w:val="7"/>
        <w:ind w:firstLine="480"/>
        <w:jc w:val="both"/>
        <w:rPr>
          <w:rFonts w:hint="eastAsia" w:eastAsia="宋体"/>
          <w:color w:val="auto"/>
          <w:sz w:val="24"/>
          <w:lang w:val="en-US" w:eastAsia="zh-CN"/>
        </w:rPr>
      </w:pPr>
      <w:r>
        <w:rPr>
          <w:rFonts w:hint="eastAsia"/>
          <w:sz w:val="24"/>
        </w:rPr>
        <w:t>根据国家市场监督管理总局办公厅文件-</w:t>
      </w:r>
      <w:r>
        <w:rPr>
          <w:sz w:val="24"/>
        </w:rPr>
        <w:t>市监计量发〔2023〕56 号</w:t>
      </w:r>
      <w:r>
        <w:rPr>
          <w:rFonts w:hint="eastAsia"/>
          <w:sz w:val="24"/>
        </w:rPr>
        <w:t>“市场监管总局办公厅关于印发2023年国家计量技术规范制定、修订及宣贯计划的通知”，由常州检验检测标准认证研究院牵头承担《动态包裹计重系统》国家计量校准规范的制定工作。归口为全国衡器计量技术委员会自动衡器分技术委员会，起草单位为：常州</w:t>
      </w:r>
      <w:r>
        <w:rPr>
          <w:rFonts w:hint="eastAsia"/>
          <w:sz w:val="24"/>
          <w:highlight w:val="none"/>
        </w:rPr>
        <w:t>检验检测标</w:t>
      </w:r>
      <w:r>
        <w:rPr>
          <w:rFonts w:hint="eastAsia"/>
          <w:color w:val="auto"/>
          <w:sz w:val="24"/>
          <w:highlight w:val="none"/>
        </w:rPr>
        <w:t>准认证研究院、</w:t>
      </w:r>
      <w:r>
        <w:rPr>
          <w:rFonts w:hint="eastAsia" w:hAnsi="宋体"/>
          <w:color w:val="auto"/>
          <w:sz w:val="24"/>
          <w:szCs w:val="24"/>
          <w:highlight w:val="none"/>
          <w:vertAlign w:val="baseline"/>
        </w:rPr>
        <w:t>江苏省计量科学研究院（江苏省能源计量数据中心）</w:t>
      </w:r>
      <w:r>
        <w:rPr>
          <w:rFonts w:hint="eastAsia"/>
          <w:color w:val="auto"/>
          <w:sz w:val="24"/>
          <w:highlight w:val="none"/>
          <w:lang w:eastAsia="zh-CN"/>
        </w:rPr>
        <w:t>、</w:t>
      </w:r>
      <w:r>
        <w:rPr>
          <w:rFonts w:hint="eastAsia" w:hAnsi="宋体"/>
          <w:color w:val="auto"/>
          <w:sz w:val="24"/>
          <w:szCs w:val="24"/>
          <w:highlight w:val="none"/>
          <w:vertAlign w:val="baseline"/>
        </w:rPr>
        <w:t>河南省计</w:t>
      </w:r>
      <w:r>
        <w:rPr>
          <w:rFonts w:hint="eastAsia" w:hAnsi="宋体"/>
          <w:color w:val="auto"/>
          <w:sz w:val="24"/>
          <w:szCs w:val="24"/>
          <w:vertAlign w:val="baseline"/>
        </w:rPr>
        <w:t>量测试科学研究院</w:t>
      </w:r>
      <w:r>
        <w:rPr>
          <w:rFonts w:hint="eastAsia"/>
          <w:color w:val="auto"/>
          <w:sz w:val="24"/>
          <w:szCs w:val="24"/>
          <w:vertAlign w:val="baseline"/>
          <w:lang w:eastAsia="zh-CN"/>
        </w:rPr>
        <w:t>、</w:t>
      </w:r>
      <w:r>
        <w:rPr>
          <w:rFonts w:hint="eastAsia" w:hAnsi="宋体"/>
          <w:color w:val="auto"/>
          <w:sz w:val="24"/>
          <w:szCs w:val="24"/>
          <w:vertAlign w:val="baseline"/>
        </w:rPr>
        <w:t>梅特勒-托利多（常州）测量技术有限公</w:t>
      </w:r>
      <w:r>
        <w:rPr>
          <w:rFonts w:hint="eastAsia"/>
          <w:color w:val="auto"/>
          <w:sz w:val="24"/>
          <w:szCs w:val="24"/>
          <w:vertAlign w:val="baseline"/>
          <w:lang w:val="en-US" w:eastAsia="zh-CN"/>
        </w:rPr>
        <w:t>司、</w:t>
      </w:r>
      <w:r>
        <w:rPr>
          <w:rFonts w:hint="eastAsia" w:hAnsi="宋体"/>
          <w:color w:val="auto"/>
          <w:sz w:val="24"/>
          <w:szCs w:val="24"/>
          <w:vertAlign w:val="baseline"/>
        </w:rPr>
        <w:t>磐石电气（常州）有限公</w:t>
      </w:r>
      <w:r>
        <w:rPr>
          <w:rFonts w:hint="eastAsia"/>
          <w:color w:val="auto"/>
          <w:sz w:val="24"/>
          <w:szCs w:val="24"/>
          <w:vertAlign w:val="baseline"/>
          <w:lang w:val="en-US" w:eastAsia="zh-CN"/>
        </w:rPr>
        <w:t>司。</w:t>
      </w:r>
    </w:p>
    <w:p w14:paraId="13495852">
      <w:pPr>
        <w:spacing w:line="360" w:lineRule="auto"/>
        <w:rPr>
          <w:rFonts w:ascii="宋体" w:hAnsi="宋体"/>
          <w:b/>
          <w:sz w:val="24"/>
        </w:rPr>
      </w:pPr>
      <w:r>
        <w:rPr>
          <w:rFonts w:hint="eastAsia" w:ascii="宋体" w:hAnsi="宋体"/>
          <w:b/>
          <w:sz w:val="24"/>
        </w:rPr>
        <w:t>二、规范制定的必要性</w:t>
      </w:r>
    </w:p>
    <w:p w14:paraId="73BABDD9">
      <w:pPr>
        <w:spacing w:before="50" w:line="360" w:lineRule="auto"/>
        <w:ind w:firstLine="480" w:firstLineChars="200"/>
        <w:rPr>
          <w:rFonts w:ascii="宋体" w:hAnsi="宋体"/>
          <w:sz w:val="24"/>
        </w:rPr>
      </w:pPr>
      <w:r>
        <w:rPr>
          <w:rFonts w:hint="eastAsia" w:ascii="宋体" w:hAnsi="宋体"/>
          <w:sz w:val="24"/>
        </w:rPr>
        <w:t xml:space="preserve">动态包裹计重系统广泛应用于电商、商超、仓储、航空货栈等物流领域，是自动衡器的一种特殊型式，能准确、高效的自动测量货物的实际质量和体积大小。其结构主要由承载器、称重单元、体积单元、扫码单元、指示装置、终端和主显示器等组成。其原理是将货物放置于输送系统通过带有称重单元的承载器，称重单元产生的电信号通过数据处理装置转换并计算,由指示装置显示出实际质量，并由顶部的体积测量单元对长方体的被测物进行扫描，获取被测物体的长宽高数据，根据计泡比计算出体积大小，并在主显示器上显示。用户根据体积大小和实际质量大小，判断货物属于重货或者泡货，并计算费用。       </w:t>
      </w:r>
    </w:p>
    <w:p w14:paraId="0D292D54">
      <w:pPr>
        <w:spacing w:before="50" w:line="360" w:lineRule="auto"/>
        <w:ind w:firstLine="480" w:firstLineChars="200"/>
        <w:rPr>
          <w:rFonts w:ascii="宋体" w:hAnsi="宋体"/>
          <w:sz w:val="24"/>
        </w:rPr>
      </w:pPr>
      <w:r>
        <w:rPr>
          <w:rFonts w:hint="eastAsia" w:ascii="宋体" w:hAnsi="宋体"/>
          <w:sz w:val="24"/>
        </w:rPr>
        <w:t>目前动态包裹计重系统在国内尚无适用的国家计量检定规程或校准规范。部分技术机构参照重力式自动装料衡器或数字指示秤的计量技术规范对实际质量进行校准，使用实际被测物对体积和质量参数进行校准。导致校准过程中存在方法不规范、标准不统一等问题，无法准确反映动态包裹计重系统的计量性能，给其量值溯源造成困难。制定动态包裹计重系统国家校准规范，统一校准方法、规范校准过程，能够更好地满足使用单位的溯源需求，有效保证物流行业计量量值的准确可靠，有重要的社会意义。</w:t>
      </w:r>
    </w:p>
    <w:p w14:paraId="3C8E42E7">
      <w:pPr>
        <w:spacing w:line="360" w:lineRule="auto"/>
        <w:rPr>
          <w:rFonts w:ascii="宋体" w:hAnsi="宋体"/>
          <w:b/>
          <w:sz w:val="24"/>
        </w:rPr>
      </w:pPr>
      <w:r>
        <w:rPr>
          <w:rFonts w:hint="eastAsia" w:ascii="宋体" w:hAnsi="宋体"/>
          <w:b/>
          <w:sz w:val="24"/>
        </w:rPr>
        <w:t>三、规范制定过程</w:t>
      </w:r>
    </w:p>
    <w:p w14:paraId="640D090E">
      <w:pPr>
        <w:spacing w:line="360" w:lineRule="auto"/>
        <w:ind w:firstLine="480" w:firstLineChars="200"/>
        <w:rPr>
          <w:rFonts w:ascii="宋体" w:hAnsi="宋体"/>
          <w:sz w:val="24"/>
        </w:rPr>
      </w:pPr>
      <w:r>
        <w:rPr>
          <w:rFonts w:hint="eastAsia" w:ascii="宋体" w:hAnsi="宋体"/>
          <w:sz w:val="24"/>
        </w:rPr>
        <w:t>2022年，起草小组即开始对动态包裹计重系统生产企业进行实地调研。</w:t>
      </w:r>
    </w:p>
    <w:p w14:paraId="1B54723D">
      <w:pPr>
        <w:spacing w:line="360" w:lineRule="auto"/>
        <w:ind w:firstLine="480" w:firstLineChars="200"/>
        <w:rPr>
          <w:rFonts w:ascii="宋体" w:hAnsi="宋体"/>
          <w:sz w:val="24"/>
        </w:rPr>
      </w:pPr>
      <w:r>
        <w:rPr>
          <w:rFonts w:hint="eastAsia" w:ascii="宋体" w:hAnsi="宋体"/>
          <w:sz w:val="24"/>
        </w:rPr>
        <w:t>2023年，纳入</w:t>
      </w:r>
      <w:r>
        <w:rPr>
          <w:rFonts w:hint="eastAsia"/>
          <w:sz w:val="24"/>
        </w:rPr>
        <w:t>国家计量技术规范制定计划后，起草小组在</w:t>
      </w:r>
      <w:r>
        <w:rPr>
          <w:rFonts w:hint="eastAsia" w:ascii="宋体" w:hAnsi="宋体"/>
          <w:sz w:val="24"/>
        </w:rPr>
        <w:t>前期调研工作的基础上，对目前市场上</w:t>
      </w:r>
      <w:r>
        <w:rPr>
          <w:rFonts w:hint="eastAsia" w:ascii="宋体" w:hAnsi="宋体" w:cs="宋体"/>
          <w:sz w:val="24"/>
        </w:rPr>
        <w:t>动态包裹计重系统</w:t>
      </w:r>
      <w:r>
        <w:rPr>
          <w:rFonts w:hint="eastAsia" w:ascii="宋体" w:hAnsi="宋体"/>
          <w:sz w:val="24"/>
        </w:rPr>
        <w:t>的技术指标进行了充分的研讨。</w:t>
      </w:r>
    </w:p>
    <w:p w14:paraId="2BC28C26">
      <w:pPr>
        <w:spacing w:line="360" w:lineRule="auto"/>
        <w:ind w:firstLine="480" w:firstLineChars="200"/>
        <w:rPr>
          <w:rFonts w:ascii="宋体"/>
          <w:sz w:val="24"/>
        </w:rPr>
      </w:pPr>
      <w:r>
        <w:rPr>
          <w:rFonts w:hint="eastAsia" w:ascii="宋体" w:hAnsi="宋体"/>
          <w:sz w:val="24"/>
        </w:rPr>
        <w:t>2023年底</w:t>
      </w:r>
      <w:r>
        <w:rPr>
          <w:sz w:val="24"/>
        </w:rPr>
        <w:t>~</w:t>
      </w:r>
      <w:r>
        <w:rPr>
          <w:rFonts w:hint="eastAsia" w:ascii="宋体" w:hAnsi="宋体"/>
          <w:sz w:val="24"/>
        </w:rPr>
        <w:t>2024年初，深入梅特勒-托利多和磐石电器两家生产企业进行了大量现场测试，同时也与国内从事自动衡器制造、检定和几何测量工作的专家、学者们进行了广泛的交流探讨，并得到了他们的大力支持和帮助，为</w:t>
      </w:r>
      <w:r>
        <w:rPr>
          <w:rFonts w:hint="eastAsia" w:ascii="宋体" w:hAnsi="宋体" w:cs="宋体"/>
          <w:sz w:val="24"/>
        </w:rPr>
        <w:t>动态包裹计重系统</w:t>
      </w:r>
      <w:r>
        <w:rPr>
          <w:rFonts w:hint="eastAsia" w:ascii="宋体" w:hAnsi="宋体"/>
          <w:sz w:val="24"/>
        </w:rPr>
        <w:t>校准规范的起草工作奠定了坚实的基础。</w:t>
      </w:r>
    </w:p>
    <w:p w14:paraId="73B973D2">
      <w:pPr>
        <w:spacing w:line="360" w:lineRule="auto"/>
        <w:ind w:firstLine="480" w:firstLineChars="200"/>
        <w:rPr>
          <w:rFonts w:hint="eastAsia" w:ascii="宋体" w:hAnsi="宋体"/>
          <w:sz w:val="24"/>
        </w:rPr>
      </w:pPr>
      <w:r>
        <w:rPr>
          <w:rFonts w:hint="eastAsia" w:ascii="宋体" w:hAnsi="宋体"/>
          <w:sz w:val="24"/>
        </w:rPr>
        <w:t>2024年</w:t>
      </w:r>
      <w:r>
        <w:rPr>
          <w:rFonts w:ascii="宋体" w:hAnsi="宋体"/>
          <w:sz w:val="24"/>
        </w:rPr>
        <w:t>3</w:t>
      </w:r>
      <w:r>
        <w:rPr>
          <w:rFonts w:hint="eastAsia" w:ascii="宋体" w:hAnsi="宋体"/>
          <w:sz w:val="24"/>
        </w:rPr>
        <w:t>月，在上述工作的基础上，规范起草小组完成了《</w:t>
      </w:r>
      <w:r>
        <w:rPr>
          <w:rFonts w:hint="eastAsia" w:ascii="宋体" w:hAnsi="宋体" w:cs="宋体"/>
          <w:sz w:val="24"/>
        </w:rPr>
        <w:t>动态包裹计重系统</w:t>
      </w:r>
      <w:r>
        <w:rPr>
          <w:rFonts w:hint="eastAsia" w:ascii="宋体" w:hAnsi="宋体"/>
          <w:sz w:val="24"/>
        </w:rPr>
        <w:t>》校准规范的征求意见稿。</w:t>
      </w:r>
    </w:p>
    <w:p w14:paraId="1B9139FD">
      <w:pPr>
        <w:spacing w:line="360" w:lineRule="auto"/>
        <w:rPr>
          <w:rFonts w:ascii="宋体" w:hAnsi="宋体"/>
          <w:b/>
          <w:sz w:val="24"/>
        </w:rPr>
      </w:pPr>
      <w:r>
        <w:rPr>
          <w:rFonts w:hint="eastAsia" w:ascii="宋体" w:hAnsi="宋体"/>
          <w:b/>
          <w:sz w:val="24"/>
        </w:rPr>
        <w:t>四、规范制定的主要技术依据、参考文献和原则</w:t>
      </w:r>
    </w:p>
    <w:p w14:paraId="150E3E76">
      <w:pPr>
        <w:spacing w:line="360" w:lineRule="auto"/>
        <w:rPr>
          <w:rFonts w:ascii="宋体" w:hAnsi="宋体"/>
          <w:sz w:val="24"/>
        </w:rPr>
      </w:pPr>
      <w:r>
        <w:rPr>
          <w:rFonts w:hint="eastAsia" w:ascii="宋体" w:hAnsi="宋体"/>
          <w:sz w:val="24"/>
        </w:rPr>
        <w:t>（一）依据</w:t>
      </w:r>
    </w:p>
    <w:p w14:paraId="4CDABBFC">
      <w:pPr>
        <w:spacing w:line="360" w:lineRule="auto"/>
        <w:ind w:firstLine="480" w:firstLineChars="200"/>
        <w:rPr>
          <w:rFonts w:ascii="宋体" w:hAnsi="宋体"/>
          <w:sz w:val="24"/>
        </w:rPr>
      </w:pPr>
      <w:r>
        <w:rPr>
          <w:rFonts w:ascii="宋体" w:hAnsi="宋体"/>
          <w:sz w:val="24"/>
        </w:rPr>
        <w:t>JJF 1071《国家计量校准规范编写规则》</w:t>
      </w:r>
    </w:p>
    <w:p w14:paraId="133C4DB7">
      <w:pPr>
        <w:spacing w:line="360" w:lineRule="auto"/>
        <w:ind w:firstLine="480" w:firstLineChars="200"/>
        <w:rPr>
          <w:rFonts w:hint="eastAsia" w:ascii="宋体" w:hAnsi="宋体"/>
          <w:sz w:val="24"/>
        </w:rPr>
      </w:pPr>
      <w:r>
        <w:rPr>
          <w:rFonts w:ascii="宋体" w:hAnsi="宋体"/>
          <w:sz w:val="24"/>
        </w:rPr>
        <w:t>JJF 1001《通用计量术语及定义》</w:t>
      </w:r>
    </w:p>
    <w:p w14:paraId="4F79FA4F">
      <w:pPr>
        <w:spacing w:line="360" w:lineRule="auto"/>
        <w:ind w:firstLine="480" w:firstLineChars="200"/>
        <w:rPr>
          <w:rFonts w:ascii="宋体" w:hAnsi="宋体"/>
          <w:sz w:val="24"/>
        </w:rPr>
      </w:pPr>
      <w:r>
        <w:rPr>
          <w:rFonts w:hint="eastAsia" w:ascii="宋体" w:hAnsi="宋体"/>
          <w:sz w:val="24"/>
        </w:rPr>
        <w:t>JJG1059</w:t>
      </w:r>
      <w:r>
        <w:rPr>
          <w:rFonts w:ascii="宋体" w:hAnsi="宋体"/>
          <w:sz w:val="24"/>
        </w:rPr>
        <w:t>.1-2012</w:t>
      </w:r>
      <w:r>
        <w:rPr>
          <w:rFonts w:hint="eastAsia" w:ascii="宋体" w:hAnsi="宋体"/>
          <w:sz w:val="24"/>
        </w:rPr>
        <w:t>《测定不确定度评定与表示》</w:t>
      </w:r>
    </w:p>
    <w:p w14:paraId="68F7313A">
      <w:pPr>
        <w:spacing w:line="360" w:lineRule="auto"/>
        <w:rPr>
          <w:rFonts w:ascii="宋体" w:hAnsi="宋体"/>
          <w:sz w:val="24"/>
        </w:rPr>
      </w:pPr>
      <w:r>
        <w:rPr>
          <w:rFonts w:hint="eastAsia" w:ascii="宋体" w:hAnsi="宋体"/>
          <w:sz w:val="24"/>
        </w:rPr>
        <w:t>（二）参考文献</w:t>
      </w:r>
    </w:p>
    <w:p w14:paraId="294834F2">
      <w:pPr>
        <w:pStyle w:val="16"/>
        <w:numPr>
          <w:ilvl w:val="0"/>
          <w:numId w:val="0"/>
        </w:numPr>
        <w:spacing w:line="360" w:lineRule="auto"/>
        <w:ind w:right="-105" w:firstLine="480" w:firstLineChars="200"/>
        <w:outlineLvl w:val="9"/>
        <w:rPr>
          <w:rFonts w:ascii="宋体" w:hAnsi="宋体" w:eastAsia="宋体"/>
          <w:spacing w:val="0"/>
          <w:kern w:val="2"/>
          <w:sz w:val="24"/>
          <w:szCs w:val="24"/>
        </w:rPr>
      </w:pPr>
      <w:r>
        <w:rPr>
          <w:rFonts w:ascii="宋体" w:hAnsi="宋体" w:eastAsia="宋体"/>
          <w:spacing w:val="0"/>
          <w:kern w:val="2"/>
          <w:sz w:val="24"/>
          <w:szCs w:val="24"/>
        </w:rPr>
        <w:t xml:space="preserve">JJG 99 </w:t>
      </w:r>
      <w:r>
        <w:rPr>
          <w:rFonts w:hint="eastAsia" w:ascii="宋体" w:hAnsi="宋体" w:eastAsia="宋体"/>
          <w:spacing w:val="0"/>
          <w:kern w:val="2"/>
          <w:sz w:val="24"/>
          <w:szCs w:val="24"/>
        </w:rPr>
        <w:t>砝码</w:t>
      </w:r>
    </w:p>
    <w:p w14:paraId="55F0D629">
      <w:pPr>
        <w:pStyle w:val="16"/>
        <w:numPr>
          <w:ilvl w:val="0"/>
          <w:numId w:val="0"/>
        </w:numPr>
        <w:spacing w:line="360" w:lineRule="auto"/>
        <w:ind w:right="-105" w:firstLine="480" w:firstLineChars="200"/>
        <w:outlineLvl w:val="9"/>
        <w:rPr>
          <w:rFonts w:ascii="宋体" w:hAnsi="宋体" w:eastAsia="宋体"/>
          <w:spacing w:val="0"/>
          <w:kern w:val="2"/>
          <w:sz w:val="24"/>
          <w:szCs w:val="24"/>
        </w:rPr>
      </w:pPr>
      <w:r>
        <w:rPr>
          <w:rFonts w:hint="eastAsia" w:ascii="宋体" w:hAnsi="宋体" w:eastAsia="宋体"/>
          <w:spacing w:val="0"/>
          <w:kern w:val="2"/>
          <w:sz w:val="24"/>
          <w:szCs w:val="24"/>
        </w:rPr>
        <w:t>G</w:t>
      </w:r>
      <w:r>
        <w:rPr>
          <w:rFonts w:ascii="宋体" w:hAnsi="宋体" w:eastAsia="宋体"/>
          <w:spacing w:val="0"/>
          <w:kern w:val="2"/>
          <w:sz w:val="24"/>
          <w:szCs w:val="24"/>
        </w:rPr>
        <w:t xml:space="preserve">B/T 27739 </w:t>
      </w:r>
      <w:r>
        <w:rPr>
          <w:rFonts w:hint="eastAsia" w:ascii="宋体" w:hAnsi="宋体" w:eastAsia="宋体"/>
          <w:spacing w:val="0"/>
          <w:kern w:val="2"/>
          <w:sz w:val="24"/>
          <w:szCs w:val="24"/>
        </w:rPr>
        <w:t>自动分检衡器</w:t>
      </w:r>
    </w:p>
    <w:p w14:paraId="229415F2">
      <w:pPr>
        <w:pStyle w:val="16"/>
        <w:numPr>
          <w:ilvl w:val="0"/>
          <w:numId w:val="0"/>
        </w:numPr>
        <w:spacing w:line="360" w:lineRule="auto"/>
        <w:ind w:right="-105" w:firstLine="480" w:firstLineChars="200"/>
        <w:outlineLvl w:val="9"/>
        <w:rPr>
          <w:rFonts w:ascii="宋体" w:hAnsi="宋体" w:eastAsia="宋体"/>
          <w:spacing w:val="0"/>
          <w:kern w:val="2"/>
          <w:sz w:val="24"/>
          <w:szCs w:val="24"/>
        </w:rPr>
      </w:pPr>
      <w:r>
        <w:rPr>
          <w:rFonts w:ascii="宋体" w:hAnsi="宋体" w:eastAsia="宋体"/>
          <w:spacing w:val="0"/>
          <w:kern w:val="2"/>
          <w:sz w:val="24"/>
          <w:szCs w:val="24"/>
        </w:rPr>
        <w:t>JJF 1</w:t>
      </w:r>
      <w:r>
        <w:rPr>
          <w:rFonts w:hint="eastAsia" w:ascii="宋体" w:hAnsi="宋体" w:eastAsia="宋体"/>
          <w:spacing w:val="0"/>
          <w:kern w:val="2"/>
          <w:sz w:val="24"/>
          <w:szCs w:val="24"/>
        </w:rPr>
        <w:t>181</w:t>
      </w:r>
      <w:r>
        <w:rPr>
          <w:rFonts w:ascii="宋体" w:hAnsi="宋体" w:eastAsia="宋体"/>
          <w:spacing w:val="0"/>
          <w:kern w:val="2"/>
          <w:sz w:val="24"/>
          <w:szCs w:val="24"/>
        </w:rPr>
        <w:t>衡器计量名词术语及定义</w:t>
      </w:r>
    </w:p>
    <w:p w14:paraId="532FD761">
      <w:pPr>
        <w:pStyle w:val="16"/>
        <w:numPr>
          <w:ilvl w:val="0"/>
          <w:numId w:val="0"/>
        </w:numPr>
        <w:spacing w:line="360" w:lineRule="auto"/>
        <w:ind w:right="-105" w:firstLine="480" w:firstLineChars="200"/>
        <w:outlineLvl w:val="9"/>
        <w:rPr>
          <w:rFonts w:ascii="宋体" w:hAnsi="宋体" w:eastAsia="宋体"/>
          <w:spacing w:val="0"/>
          <w:kern w:val="2"/>
          <w:sz w:val="24"/>
          <w:szCs w:val="24"/>
        </w:rPr>
      </w:pPr>
      <w:r>
        <w:rPr>
          <w:rFonts w:ascii="宋体" w:hAnsi="宋体" w:eastAsia="宋体"/>
          <w:spacing w:val="0"/>
          <w:kern w:val="2"/>
          <w:sz w:val="24"/>
          <w:szCs w:val="24"/>
        </w:rPr>
        <w:t xml:space="preserve">JJF </w:t>
      </w:r>
      <w:r>
        <w:rPr>
          <w:rFonts w:hint="eastAsia" w:ascii="宋体" w:hAnsi="宋体" w:eastAsia="宋体"/>
          <w:spacing w:val="0"/>
          <w:kern w:val="2"/>
          <w:sz w:val="24"/>
          <w:szCs w:val="24"/>
        </w:rPr>
        <w:t>2005</w:t>
      </w:r>
      <w:r>
        <w:rPr>
          <w:rFonts w:ascii="宋体" w:hAnsi="宋体" w:eastAsia="宋体"/>
          <w:spacing w:val="0"/>
          <w:kern w:val="2"/>
          <w:sz w:val="24"/>
          <w:szCs w:val="24"/>
        </w:rPr>
        <w:t>多维尺寸测量仪校准规范</w:t>
      </w:r>
    </w:p>
    <w:p w14:paraId="67925159">
      <w:pPr>
        <w:spacing w:line="360" w:lineRule="auto"/>
        <w:rPr>
          <w:rFonts w:ascii="宋体" w:hAnsi="宋体"/>
          <w:sz w:val="24"/>
        </w:rPr>
      </w:pPr>
      <w:r>
        <w:rPr>
          <w:rFonts w:hint="eastAsia" w:ascii="宋体" w:hAnsi="宋体"/>
          <w:sz w:val="24"/>
        </w:rPr>
        <w:t>（三）原则</w:t>
      </w:r>
    </w:p>
    <w:p w14:paraId="6D777FB0">
      <w:pPr>
        <w:spacing w:line="360" w:lineRule="auto"/>
        <w:ind w:firstLine="480" w:firstLineChars="200"/>
        <w:rPr>
          <w:rFonts w:ascii="宋体" w:hAnsi="宋体"/>
          <w:sz w:val="24"/>
        </w:rPr>
      </w:pPr>
      <w:r>
        <w:rPr>
          <w:rFonts w:hint="eastAsia" w:ascii="宋体" w:hAnsi="宋体"/>
          <w:sz w:val="24"/>
        </w:rPr>
        <w:t>1、架构</w:t>
      </w:r>
    </w:p>
    <w:p w14:paraId="33DF562C">
      <w:pPr>
        <w:spacing w:line="360" w:lineRule="auto"/>
        <w:ind w:firstLine="480" w:firstLineChars="200"/>
        <w:rPr>
          <w:rFonts w:ascii="宋体" w:hAnsi="宋体"/>
          <w:sz w:val="24"/>
        </w:rPr>
      </w:pPr>
      <w:r>
        <w:rPr>
          <w:rFonts w:ascii="宋体" w:hAnsi="宋体"/>
          <w:sz w:val="24"/>
        </w:rPr>
        <w:t>架构结构根据封面、扉页、目录、引言、范围、引用文件、术语</w:t>
      </w:r>
      <w:r>
        <w:rPr>
          <w:rFonts w:hint="eastAsia" w:ascii="宋体" w:hAnsi="宋体"/>
          <w:sz w:val="24"/>
        </w:rPr>
        <w:t>和计量单位</w:t>
      </w:r>
      <w:r>
        <w:rPr>
          <w:rFonts w:ascii="宋体" w:hAnsi="宋体"/>
          <w:sz w:val="24"/>
        </w:rPr>
        <w:t>、概述、计量</w:t>
      </w:r>
      <w:r>
        <w:rPr>
          <w:rFonts w:hint="eastAsia" w:ascii="宋体" w:hAnsi="宋体"/>
          <w:sz w:val="24"/>
        </w:rPr>
        <w:t>特性</w:t>
      </w:r>
      <w:r>
        <w:rPr>
          <w:rFonts w:ascii="宋体" w:hAnsi="宋体"/>
          <w:sz w:val="24"/>
        </w:rPr>
        <w:t>、校准条件、校准项目和校准方法、校准结果、复校时间间隔几个部分制定《</w:t>
      </w:r>
      <w:r>
        <w:rPr>
          <w:rFonts w:hint="eastAsia" w:ascii="宋体" w:hAnsi="宋体"/>
          <w:sz w:val="24"/>
        </w:rPr>
        <w:t>动态包裹计重系统校准规范</w:t>
      </w:r>
      <w:r>
        <w:rPr>
          <w:rFonts w:ascii="宋体" w:hAnsi="宋体"/>
          <w:sz w:val="24"/>
        </w:rPr>
        <w:t>》。</w:t>
      </w:r>
    </w:p>
    <w:p w14:paraId="31DCC0E8">
      <w:pPr>
        <w:spacing w:line="360" w:lineRule="auto"/>
        <w:ind w:firstLine="480" w:firstLineChars="200"/>
        <w:rPr>
          <w:rFonts w:ascii="宋体" w:hAnsi="宋体"/>
          <w:sz w:val="24"/>
        </w:rPr>
      </w:pPr>
      <w:r>
        <w:rPr>
          <w:rFonts w:hint="eastAsia" w:ascii="宋体" w:hAnsi="宋体"/>
          <w:sz w:val="24"/>
        </w:rPr>
        <w:t>2、术语与计量单位的选择</w:t>
      </w:r>
    </w:p>
    <w:p w14:paraId="15E71AED">
      <w:pPr>
        <w:spacing w:line="360" w:lineRule="auto"/>
        <w:ind w:firstLine="480" w:firstLineChars="200"/>
        <w:rPr>
          <w:rFonts w:ascii="宋体" w:hAnsi="宋体"/>
          <w:sz w:val="24"/>
        </w:rPr>
      </w:pPr>
      <w:r>
        <w:rPr>
          <w:rFonts w:ascii="宋体" w:hAnsi="宋体"/>
          <w:sz w:val="24"/>
        </w:rPr>
        <w:t>术语和计量单位的选择遵照JJF1001-2011《通用计量术语及定义》选择使用。</w:t>
      </w:r>
    </w:p>
    <w:p w14:paraId="67E06F04">
      <w:pPr>
        <w:spacing w:line="360" w:lineRule="auto"/>
        <w:ind w:firstLine="480" w:firstLineChars="200"/>
        <w:rPr>
          <w:rFonts w:ascii="宋体" w:hAnsi="宋体"/>
          <w:b w:val="0"/>
          <w:sz w:val="24"/>
        </w:rPr>
      </w:pPr>
      <w:r>
        <w:rPr>
          <w:rFonts w:ascii="宋体" w:hAnsi="宋体"/>
          <w:b w:val="0"/>
          <w:sz w:val="24"/>
        </w:rPr>
        <w:t>3、计量特性确定原则</w:t>
      </w:r>
    </w:p>
    <w:p w14:paraId="6DFD237B">
      <w:pPr>
        <w:spacing w:line="360" w:lineRule="auto"/>
        <w:ind w:firstLine="480" w:firstLineChars="200"/>
      </w:pPr>
      <w:r>
        <w:rPr>
          <w:rFonts w:hint="eastAsia" w:ascii="宋体" w:hAnsi="宋体"/>
          <w:sz w:val="24"/>
        </w:rPr>
        <w:t>动态包裹计重系统广泛应用于电商、商超、仓储、航空货栈等物流领域</w:t>
      </w:r>
      <w:r>
        <w:rPr>
          <w:rFonts w:hint="eastAsia"/>
          <w:sz w:val="24"/>
          <w:szCs w:val="28"/>
        </w:rPr>
        <w:t>，其量值的准确性、不确定度的评定正确与否直接关系到测量结果的可靠和贸易结算的公平性。在编写过程中，起草小组遵循以下原则：</w:t>
      </w:r>
    </w:p>
    <w:p w14:paraId="79FC79A5">
      <w:pPr>
        <w:tabs>
          <w:tab w:val="left" w:pos="567"/>
        </w:tabs>
        <w:spacing w:line="360" w:lineRule="auto"/>
        <w:ind w:firstLine="480" w:firstLineChars="200"/>
        <w:rPr>
          <w:rFonts w:ascii="宋体" w:hAnsi="宋体"/>
          <w:sz w:val="24"/>
        </w:rPr>
      </w:pPr>
      <w:r>
        <w:rPr>
          <w:rFonts w:ascii="宋体" w:hAnsi="宋体"/>
          <w:sz w:val="24"/>
        </w:rPr>
        <w:t xml:space="preserve"> </w:t>
      </w:r>
      <w:r>
        <w:rPr>
          <w:rFonts w:hint="eastAsia" w:ascii="宋体" w:hAnsi="宋体"/>
          <w:sz w:val="24"/>
        </w:rPr>
        <w:t>参考现有的</w:t>
      </w:r>
      <w:r>
        <w:rPr>
          <w:rFonts w:hint="eastAsia"/>
          <w:sz w:val="24"/>
        </w:rPr>
        <w:t>国家技术规范</w:t>
      </w:r>
      <w:r>
        <w:rPr>
          <w:rFonts w:hint="eastAsia" w:ascii="宋体" w:hAnsi="宋体"/>
          <w:sz w:val="24"/>
        </w:rPr>
        <w:t>、结合国内现状；</w:t>
      </w:r>
    </w:p>
    <w:p w14:paraId="6ECAE4EC">
      <w:pPr>
        <w:spacing w:line="360" w:lineRule="auto"/>
        <w:ind w:firstLine="480" w:firstLineChars="200"/>
        <w:rPr>
          <w:rFonts w:ascii="宋体" w:hAnsi="宋体"/>
          <w:sz w:val="24"/>
        </w:rPr>
      </w:pPr>
      <w:r>
        <w:rPr>
          <w:rFonts w:ascii="宋体" w:hAnsi="宋体"/>
          <w:sz w:val="24"/>
        </w:rPr>
        <w:t xml:space="preserve"> </w:t>
      </w:r>
      <w:r>
        <w:rPr>
          <w:rFonts w:hint="eastAsia" w:ascii="宋体" w:hAnsi="宋体"/>
          <w:sz w:val="24"/>
        </w:rPr>
        <w:t xml:space="preserve">体现目前校准方法的先进性和科学性； </w:t>
      </w:r>
    </w:p>
    <w:p w14:paraId="04B45393">
      <w:pPr>
        <w:spacing w:line="360" w:lineRule="auto"/>
        <w:ind w:firstLine="480" w:firstLineChars="200"/>
        <w:rPr>
          <w:rFonts w:ascii="宋体" w:hAnsi="宋体"/>
          <w:sz w:val="24"/>
        </w:rPr>
      </w:pPr>
      <w:r>
        <w:rPr>
          <w:rFonts w:hint="eastAsia" w:ascii="宋体" w:hAnsi="宋体" w:cs="宋体"/>
          <w:sz w:val="24"/>
        </w:rPr>
        <w:t>③</w:t>
      </w:r>
      <w:r>
        <w:rPr>
          <w:rFonts w:hint="eastAsia" w:ascii="宋体" w:hAnsi="宋体"/>
          <w:sz w:val="24"/>
        </w:rPr>
        <w:t xml:space="preserve"> 实际工作中的规范性和适用性。</w:t>
      </w:r>
    </w:p>
    <w:p w14:paraId="4E52B2E4">
      <w:pPr>
        <w:spacing w:line="360" w:lineRule="auto"/>
        <w:rPr>
          <w:rFonts w:ascii="宋体" w:hAnsi="宋体" w:eastAsia="宋体"/>
          <w:b/>
          <w:sz w:val="24"/>
        </w:rPr>
      </w:pPr>
      <w:r>
        <w:rPr>
          <w:rFonts w:ascii="宋体" w:hAnsi="宋体" w:eastAsia="宋体"/>
          <w:b/>
          <w:sz w:val="24"/>
        </w:rPr>
        <w:t>五、规范制定说明</w:t>
      </w:r>
    </w:p>
    <w:p w14:paraId="1A40C273">
      <w:pPr>
        <w:spacing w:line="360" w:lineRule="auto"/>
        <w:ind w:firstLine="480" w:firstLineChars="200"/>
        <w:rPr>
          <w:rFonts w:ascii="宋体" w:hAnsi="宋体"/>
          <w:sz w:val="24"/>
        </w:rPr>
      </w:pPr>
      <w:r>
        <w:rPr>
          <w:rFonts w:ascii="宋体" w:hAnsi="宋体"/>
          <w:sz w:val="24"/>
        </w:rPr>
        <w:t>《</w:t>
      </w:r>
      <w:r>
        <w:rPr>
          <w:rFonts w:hint="eastAsia" w:ascii="宋体" w:hAnsi="宋体"/>
          <w:sz w:val="24"/>
        </w:rPr>
        <w:t>动态包裹计重系统校准规范</w:t>
      </w:r>
      <w:r>
        <w:rPr>
          <w:rFonts w:ascii="宋体" w:hAnsi="宋体"/>
          <w:sz w:val="24"/>
        </w:rPr>
        <w:t>》共分为10个部分，即范围、引用文件、术语</w:t>
      </w:r>
      <w:r>
        <w:rPr>
          <w:rFonts w:hint="eastAsia" w:ascii="宋体" w:hAnsi="宋体"/>
          <w:sz w:val="24"/>
        </w:rPr>
        <w:t>和计量单位</w:t>
      </w:r>
      <w:r>
        <w:rPr>
          <w:rFonts w:ascii="宋体" w:hAnsi="宋体"/>
          <w:sz w:val="24"/>
        </w:rPr>
        <w:t>、概述、计量</w:t>
      </w:r>
      <w:r>
        <w:rPr>
          <w:rFonts w:hint="eastAsia" w:ascii="宋体" w:hAnsi="宋体"/>
          <w:sz w:val="24"/>
        </w:rPr>
        <w:t>特性</w:t>
      </w:r>
      <w:r>
        <w:rPr>
          <w:rFonts w:ascii="宋体" w:hAnsi="宋体"/>
          <w:sz w:val="24"/>
        </w:rPr>
        <w:t>、校准条件、校准项目和校准方法、校准结果、复校时间间隔</w:t>
      </w:r>
      <w:r>
        <w:rPr>
          <w:rFonts w:hint="eastAsia" w:ascii="宋体" w:hAnsi="宋体"/>
          <w:sz w:val="24"/>
        </w:rPr>
        <w:t>等</w:t>
      </w:r>
      <w:r>
        <w:rPr>
          <w:rFonts w:ascii="宋体" w:hAnsi="宋体"/>
          <w:sz w:val="24"/>
        </w:rPr>
        <w:t>10个部分。</w:t>
      </w:r>
    </w:p>
    <w:p w14:paraId="577D616B">
      <w:pPr>
        <w:spacing w:line="360" w:lineRule="auto"/>
        <w:ind w:firstLine="480" w:firstLineChars="200"/>
        <w:rPr>
          <w:rFonts w:ascii="宋体" w:hAnsi="宋体"/>
          <w:b w:val="0"/>
          <w:sz w:val="24"/>
        </w:rPr>
      </w:pPr>
      <w:r>
        <w:rPr>
          <w:rFonts w:ascii="宋体" w:hAnsi="宋体"/>
          <w:b w:val="0"/>
          <w:sz w:val="24"/>
        </w:rPr>
        <w:t>1、范围：</w:t>
      </w:r>
    </w:p>
    <w:p w14:paraId="356FE8BF">
      <w:pPr>
        <w:spacing w:line="360" w:lineRule="auto"/>
        <w:ind w:firstLine="480" w:firstLineChars="200"/>
        <w:rPr>
          <w:rStyle w:val="10"/>
          <w:rFonts w:ascii="宋体" w:hAnsi="宋体"/>
          <w:sz w:val="24"/>
        </w:rPr>
      </w:pPr>
      <w:r>
        <w:rPr>
          <w:rStyle w:val="10"/>
          <w:rFonts w:ascii="宋体" w:hAnsi="宋体"/>
          <w:sz w:val="24"/>
        </w:rPr>
        <w:t>本</w:t>
      </w:r>
      <w:r>
        <w:rPr>
          <w:rStyle w:val="10"/>
          <w:rFonts w:hint="eastAsia" w:ascii="宋体" w:hAnsi="宋体"/>
          <w:sz w:val="24"/>
        </w:rPr>
        <w:t>规范适用于物流行业中对货物同时进行自动称重和体积测量的包裹计重系统的校准。</w:t>
      </w:r>
    </w:p>
    <w:p w14:paraId="109E3CFE">
      <w:pPr>
        <w:spacing w:line="360" w:lineRule="auto"/>
        <w:ind w:firstLine="480" w:firstLineChars="200"/>
        <w:rPr>
          <w:rFonts w:hint="eastAsia" w:ascii="宋体" w:hAnsi="宋体"/>
          <w:b w:val="0"/>
          <w:sz w:val="24"/>
        </w:rPr>
      </w:pPr>
      <w:r>
        <w:rPr>
          <w:rFonts w:ascii="宋体" w:hAnsi="宋体"/>
          <w:b w:val="0"/>
          <w:sz w:val="24"/>
        </w:rPr>
        <w:t>2、引用文件</w:t>
      </w:r>
    </w:p>
    <w:p w14:paraId="2DEC8D45">
      <w:pPr>
        <w:spacing w:line="360" w:lineRule="auto"/>
        <w:ind w:firstLine="480" w:firstLineChars="200"/>
        <w:rPr>
          <w:rFonts w:ascii="宋体" w:hAnsi="宋体"/>
          <w:sz w:val="24"/>
          <w:szCs w:val="24"/>
          <w:lang w:val="en-US"/>
        </w:rPr>
      </w:pPr>
      <w:r>
        <w:rPr>
          <w:rFonts w:hint="eastAsia" w:ascii="宋体" w:hAnsi="宋体"/>
          <w:sz w:val="24"/>
          <w:szCs w:val="24"/>
          <w:lang w:val="en-US"/>
        </w:rPr>
        <w:t>列出了本规范参考和引用的文件包括JJG</w:t>
      </w:r>
      <w:r>
        <w:rPr>
          <w:rFonts w:ascii="宋体" w:hAnsi="宋体"/>
          <w:sz w:val="24"/>
        </w:rPr>
        <w:t xml:space="preserve"> 9</w:t>
      </w:r>
      <w:r>
        <w:rPr>
          <w:rFonts w:hint="eastAsia" w:ascii="宋体" w:hAnsi="宋体"/>
          <w:sz w:val="24"/>
          <w:szCs w:val="24"/>
          <w:lang w:val="en-US"/>
        </w:rPr>
        <w:t xml:space="preserve">9 </w:t>
      </w:r>
      <w:r>
        <w:rPr>
          <w:rFonts w:hint="eastAsia" w:ascii="宋体" w:hAnsi="宋体"/>
          <w:sz w:val="24"/>
        </w:rPr>
        <w:t>砝码</w:t>
      </w:r>
      <w:r>
        <w:rPr>
          <w:rFonts w:hint="eastAsia" w:ascii="宋体" w:hAnsi="宋体"/>
          <w:sz w:val="24"/>
          <w:szCs w:val="24"/>
          <w:lang w:val="en-US"/>
        </w:rPr>
        <w:t>、JJ</w:t>
      </w:r>
      <w:r>
        <w:rPr>
          <w:rFonts w:ascii="宋体" w:hAnsi="宋体"/>
          <w:sz w:val="24"/>
        </w:rPr>
        <w:t>F 2005</w:t>
      </w:r>
      <w:r>
        <w:rPr>
          <w:rFonts w:hint="eastAsia" w:ascii="宋体" w:hAnsi="宋体"/>
          <w:sz w:val="24"/>
          <w:szCs w:val="24"/>
          <w:lang w:val="en-US"/>
        </w:rPr>
        <w:t xml:space="preserve"> </w:t>
      </w:r>
      <w:r>
        <w:rPr>
          <w:rFonts w:ascii="宋体" w:hAnsi="宋体" w:eastAsia="宋体"/>
          <w:kern w:val="2"/>
          <w:sz w:val="24"/>
        </w:rPr>
        <w:t>多维尺寸测量仪校准规范</w:t>
      </w:r>
      <w:r>
        <w:rPr>
          <w:rFonts w:hint="eastAsia" w:ascii="宋体" w:hAnsi="宋体"/>
          <w:sz w:val="24"/>
          <w:szCs w:val="24"/>
          <w:lang w:val="en-US"/>
        </w:rPr>
        <w:t>、</w:t>
      </w:r>
      <w:r>
        <w:rPr>
          <w:rFonts w:ascii="宋体" w:hAnsi="宋体"/>
          <w:sz w:val="24"/>
          <w:szCs w:val="24"/>
          <w:lang w:val="en-US"/>
        </w:rPr>
        <w:t>JJF 1181 衡器计量名词术语及定义等</w:t>
      </w:r>
      <w:r>
        <w:rPr>
          <w:rFonts w:hint="eastAsia" w:ascii="宋体" w:hAnsi="宋体"/>
          <w:sz w:val="24"/>
          <w:szCs w:val="24"/>
          <w:lang w:val="en-US"/>
        </w:rPr>
        <w:t>。</w:t>
      </w:r>
      <w:r>
        <w:rPr>
          <w:rFonts w:ascii="宋体" w:hAnsi="宋体"/>
          <w:sz w:val="24"/>
          <w:szCs w:val="24"/>
          <w:lang w:val="en-US"/>
        </w:rPr>
        <w:t>凡是注日期的引用文件，仅注日期的版本适用于本规范，凡是不注日期的引用文件，其最新版本（包括所有的修订单）适用于本规范。</w:t>
      </w:r>
    </w:p>
    <w:p w14:paraId="67F95FE6">
      <w:pPr>
        <w:spacing w:line="360" w:lineRule="auto"/>
        <w:ind w:firstLine="480" w:firstLineChars="200"/>
        <w:rPr>
          <w:rFonts w:ascii="宋体" w:hAnsi="宋体"/>
          <w:b w:val="0"/>
          <w:sz w:val="24"/>
        </w:rPr>
      </w:pPr>
      <w:r>
        <w:rPr>
          <w:rFonts w:ascii="宋体" w:hAnsi="宋体"/>
          <w:b w:val="0"/>
          <w:sz w:val="24"/>
        </w:rPr>
        <w:t>3、术语</w:t>
      </w:r>
      <w:r>
        <w:rPr>
          <w:rFonts w:hint="eastAsia" w:ascii="宋体" w:hAnsi="宋体"/>
          <w:sz w:val="24"/>
        </w:rPr>
        <w:t>和计量单位</w:t>
      </w:r>
    </w:p>
    <w:p w14:paraId="107BEBEF">
      <w:pPr>
        <w:spacing w:line="360" w:lineRule="auto"/>
        <w:ind w:firstLine="480" w:firstLineChars="200"/>
        <w:rPr>
          <w:rFonts w:hint="eastAsia" w:ascii="宋体" w:hAnsi="宋体"/>
          <w:sz w:val="24"/>
          <w:szCs w:val="24"/>
          <w:lang w:val="en-US"/>
        </w:rPr>
      </w:pPr>
      <w:r>
        <w:rPr>
          <w:rFonts w:ascii="宋体" w:hAnsi="宋体"/>
          <w:sz w:val="24"/>
          <w:szCs w:val="24"/>
          <w:lang w:val="en-US"/>
        </w:rPr>
        <w:t>这一部分对规范中使用的名词术语进行了定义，包括</w:t>
      </w:r>
      <w:r>
        <w:rPr>
          <w:rFonts w:hint="eastAsia" w:ascii="宋体" w:hAnsi="宋体" w:eastAsia="宋体"/>
          <w:sz w:val="24"/>
        </w:rPr>
        <w:t>外廓体积</w:t>
      </w:r>
      <w:r>
        <w:rPr>
          <w:rFonts w:hint="eastAsia" w:ascii="宋体" w:hAnsi="宋体"/>
          <w:sz w:val="24"/>
          <w:szCs w:val="24"/>
          <w:lang w:val="en-US"/>
        </w:rPr>
        <w:t>、</w:t>
      </w:r>
      <w:r>
        <w:rPr>
          <w:rFonts w:hint="eastAsia" w:ascii="宋体" w:hAnsi="宋体" w:eastAsia="宋体"/>
          <w:sz w:val="24"/>
        </w:rPr>
        <w:t>实际质量、计泡比、计泡系数、体积重量、包裹计重系统、动态包裹计重系统、</w:t>
      </w:r>
      <w:r>
        <w:rPr>
          <w:rFonts w:hint="eastAsia" w:ascii="宋体" w:hAnsi="宋体" w:cs="Times New Roman"/>
          <w:color w:val="auto"/>
          <w:kern w:val="2"/>
          <w:sz w:val="24"/>
          <w:lang w:bidi="ar-SA"/>
        </w:rPr>
        <w:t>长方形物体</w:t>
      </w:r>
      <w:r>
        <w:rPr>
          <w:rFonts w:hint="eastAsia" w:ascii="宋体" w:hAnsi="宋体"/>
          <w:sz w:val="24"/>
          <w:szCs w:val="24"/>
          <w:lang w:val="en-US"/>
        </w:rPr>
        <w:t>和</w:t>
      </w:r>
      <w:r>
        <w:rPr>
          <w:rFonts w:hint="eastAsia" w:ascii="宋体" w:hAnsi="宋体" w:eastAsia="宋体"/>
          <w:sz w:val="24"/>
        </w:rPr>
        <w:t>试验测量块</w:t>
      </w:r>
      <w:r>
        <w:rPr>
          <w:rFonts w:ascii="宋体" w:hAnsi="宋体"/>
          <w:sz w:val="24"/>
          <w:szCs w:val="24"/>
          <w:lang w:val="en-US"/>
        </w:rPr>
        <w:t>。</w:t>
      </w:r>
      <w:r>
        <w:rPr>
          <w:rFonts w:hint="eastAsia" w:ascii="宋体" w:hAnsi="宋体"/>
          <w:sz w:val="24"/>
        </w:rPr>
        <w:t>同时对使用的质量、长度和体积的计量单位进行了规定。</w:t>
      </w:r>
    </w:p>
    <w:p w14:paraId="45E1B62E">
      <w:pPr>
        <w:spacing w:line="360" w:lineRule="auto"/>
        <w:ind w:firstLine="480" w:firstLineChars="200"/>
        <w:rPr>
          <w:rFonts w:ascii="宋体" w:hAnsi="宋体"/>
          <w:b w:val="0"/>
          <w:sz w:val="24"/>
        </w:rPr>
      </w:pPr>
      <w:r>
        <w:rPr>
          <w:rFonts w:ascii="宋体" w:hAnsi="宋体"/>
          <w:b w:val="0"/>
          <w:sz w:val="24"/>
        </w:rPr>
        <w:t>4、概述</w:t>
      </w:r>
    </w:p>
    <w:p w14:paraId="37CC7362">
      <w:pPr>
        <w:spacing w:line="360" w:lineRule="auto"/>
        <w:ind w:firstLine="480" w:firstLineChars="200"/>
        <w:rPr>
          <w:rFonts w:ascii="宋体" w:hAnsi="宋体"/>
          <w:sz w:val="24"/>
          <w:szCs w:val="24"/>
        </w:rPr>
      </w:pPr>
      <w:r>
        <w:rPr>
          <w:rFonts w:ascii="宋体" w:hAnsi="宋体"/>
          <w:sz w:val="24"/>
          <w:szCs w:val="24"/>
        </w:rPr>
        <w:t>这部分主要描述了</w:t>
      </w:r>
      <w:r>
        <w:rPr>
          <w:rFonts w:hint="eastAsia" w:ascii="宋体" w:hAnsi="宋体"/>
          <w:sz w:val="24"/>
        </w:rPr>
        <w:t>动态包裹计重系统的结构、</w:t>
      </w:r>
      <w:r>
        <w:rPr>
          <w:rFonts w:ascii="宋体" w:hAnsi="宋体"/>
          <w:sz w:val="24"/>
          <w:szCs w:val="24"/>
        </w:rPr>
        <w:t>原理</w:t>
      </w:r>
      <w:r>
        <w:rPr>
          <w:rFonts w:hint="eastAsia" w:ascii="宋体" w:hAnsi="宋体"/>
          <w:sz w:val="24"/>
          <w:szCs w:val="24"/>
        </w:rPr>
        <w:t>和用途。</w:t>
      </w:r>
    </w:p>
    <w:p w14:paraId="3F267C5C">
      <w:pPr>
        <w:spacing w:line="360" w:lineRule="auto"/>
        <w:ind w:firstLine="480" w:firstLineChars="200"/>
        <w:rPr>
          <w:rFonts w:ascii="宋体" w:hAnsi="宋体"/>
          <w:b w:val="0"/>
          <w:sz w:val="24"/>
        </w:rPr>
      </w:pPr>
      <w:r>
        <w:rPr>
          <w:rFonts w:ascii="宋体" w:hAnsi="宋体"/>
          <w:b w:val="0"/>
          <w:sz w:val="24"/>
        </w:rPr>
        <w:t>5、计量</w:t>
      </w:r>
      <w:r>
        <w:rPr>
          <w:rFonts w:hint="eastAsia" w:ascii="宋体" w:hAnsi="宋体"/>
          <w:b w:val="0"/>
          <w:sz w:val="24"/>
        </w:rPr>
        <w:t>性能</w:t>
      </w:r>
    </w:p>
    <w:p w14:paraId="1A258A8A">
      <w:pPr>
        <w:spacing w:line="360" w:lineRule="auto"/>
        <w:ind w:firstLine="480" w:firstLineChars="200"/>
        <w:rPr>
          <w:rFonts w:ascii="宋体" w:hAnsi="宋体"/>
          <w:sz w:val="24"/>
          <w:szCs w:val="24"/>
        </w:rPr>
      </w:pPr>
      <w:r>
        <w:rPr>
          <w:rFonts w:ascii="宋体" w:hAnsi="宋体"/>
          <w:sz w:val="24"/>
          <w:szCs w:val="24"/>
        </w:rPr>
        <w:t>这部分规定了</w:t>
      </w:r>
      <w:r>
        <w:rPr>
          <w:rFonts w:hint="eastAsia" w:ascii="宋体" w:hAnsi="宋体"/>
          <w:sz w:val="24"/>
        </w:rPr>
        <w:t>动态包裹计重系统</w:t>
      </w:r>
      <w:r>
        <w:rPr>
          <w:rFonts w:ascii="宋体" w:hAnsi="宋体"/>
          <w:sz w:val="24"/>
          <w:szCs w:val="24"/>
        </w:rPr>
        <w:t>的计量特性，通过对生产厂家和用户的调研，选择了</w:t>
      </w:r>
      <w:r>
        <w:rPr>
          <w:rFonts w:hint="eastAsia" w:ascii="宋体" w:hAnsi="宋体"/>
          <w:sz w:val="24"/>
        </w:rPr>
        <w:t>示值误差和偏载示值误差</w:t>
      </w:r>
      <w:r>
        <w:rPr>
          <w:rFonts w:hint="eastAsia" w:ascii="宋体" w:hAnsi="宋体"/>
          <w:sz w:val="24"/>
          <w:szCs w:val="24"/>
        </w:rPr>
        <w:t>。</w:t>
      </w:r>
    </w:p>
    <w:p w14:paraId="33409FDF">
      <w:pPr>
        <w:spacing w:line="360" w:lineRule="auto"/>
        <w:ind w:firstLine="480" w:firstLineChars="200"/>
        <w:rPr>
          <w:rFonts w:ascii="宋体" w:hAnsi="宋体"/>
          <w:b w:val="0"/>
          <w:sz w:val="24"/>
        </w:rPr>
      </w:pPr>
      <w:r>
        <w:rPr>
          <w:rFonts w:ascii="宋体" w:hAnsi="宋体"/>
          <w:b w:val="0"/>
          <w:sz w:val="24"/>
        </w:rPr>
        <w:t>6、校准条件</w:t>
      </w:r>
    </w:p>
    <w:p w14:paraId="33CDB7DC">
      <w:pPr>
        <w:spacing w:line="360" w:lineRule="auto"/>
        <w:ind w:firstLine="480" w:firstLineChars="200"/>
        <w:rPr>
          <w:rFonts w:hint="eastAsia" w:ascii="宋体" w:hAnsi="宋体"/>
          <w:sz w:val="24"/>
          <w:szCs w:val="24"/>
        </w:rPr>
      </w:pPr>
      <w:r>
        <w:rPr>
          <w:rFonts w:ascii="宋体" w:hAnsi="宋体"/>
          <w:sz w:val="24"/>
          <w:szCs w:val="24"/>
        </w:rPr>
        <w:t>这部分主要规定了</w:t>
      </w:r>
      <w:r>
        <w:rPr>
          <w:rFonts w:hint="eastAsia" w:ascii="宋体" w:hAnsi="宋体"/>
          <w:sz w:val="24"/>
        </w:rPr>
        <w:t>动态包裹计重系统</w:t>
      </w:r>
      <w:r>
        <w:rPr>
          <w:rFonts w:ascii="宋体" w:hAnsi="宋体"/>
          <w:sz w:val="24"/>
          <w:szCs w:val="24"/>
        </w:rPr>
        <w:t>校准时需要满足的环境条件，以及使用的校准</w:t>
      </w:r>
      <w:r>
        <w:rPr>
          <w:rFonts w:hint="eastAsia" w:ascii="宋体" w:hAnsi="宋体"/>
          <w:sz w:val="24"/>
          <w:szCs w:val="24"/>
        </w:rPr>
        <w:t>设备</w:t>
      </w:r>
      <w:r>
        <w:rPr>
          <w:rFonts w:ascii="宋体" w:hAnsi="宋体"/>
          <w:sz w:val="24"/>
          <w:szCs w:val="24"/>
        </w:rPr>
        <w:t>。</w:t>
      </w:r>
    </w:p>
    <w:p w14:paraId="522F5D18">
      <w:pPr>
        <w:spacing w:line="360" w:lineRule="auto"/>
        <w:ind w:firstLine="480" w:firstLineChars="200"/>
        <w:rPr>
          <w:rFonts w:ascii="宋体" w:hAnsi="宋体"/>
          <w:b w:val="0"/>
          <w:sz w:val="24"/>
        </w:rPr>
      </w:pPr>
      <w:r>
        <w:rPr>
          <w:rFonts w:ascii="宋体" w:hAnsi="宋体"/>
          <w:b w:val="0"/>
          <w:sz w:val="24"/>
        </w:rPr>
        <w:t>7、校准项目和校准方法</w:t>
      </w:r>
    </w:p>
    <w:p w14:paraId="2202909C">
      <w:pPr>
        <w:spacing w:line="360" w:lineRule="auto"/>
        <w:ind w:firstLine="480" w:firstLineChars="200"/>
        <w:rPr>
          <w:rFonts w:ascii="宋体" w:hAnsi="宋体"/>
          <w:sz w:val="24"/>
          <w:szCs w:val="24"/>
        </w:rPr>
      </w:pPr>
      <w:r>
        <w:rPr>
          <w:rFonts w:ascii="宋体" w:hAnsi="宋体"/>
          <w:sz w:val="24"/>
          <w:szCs w:val="24"/>
        </w:rPr>
        <w:t>这部分主要针对</w:t>
      </w:r>
      <w:r>
        <w:rPr>
          <w:rFonts w:hint="eastAsia" w:ascii="宋体" w:hAnsi="宋体"/>
          <w:sz w:val="24"/>
        </w:rPr>
        <w:t>动态包裹计重系统</w:t>
      </w:r>
      <w:r>
        <w:rPr>
          <w:rFonts w:hint="eastAsia" w:ascii="宋体" w:hAnsi="宋体"/>
          <w:sz w:val="24"/>
          <w:szCs w:val="24"/>
        </w:rPr>
        <w:t>校准</w:t>
      </w:r>
      <w:r>
        <w:rPr>
          <w:rFonts w:ascii="宋体" w:hAnsi="宋体"/>
          <w:sz w:val="24"/>
          <w:szCs w:val="24"/>
        </w:rPr>
        <w:t>前准备</w:t>
      </w:r>
      <w:r>
        <w:rPr>
          <w:rFonts w:hint="eastAsia" w:ascii="宋体" w:hAnsi="宋体"/>
          <w:sz w:val="24"/>
          <w:szCs w:val="24"/>
        </w:rPr>
        <w:t>、</w:t>
      </w:r>
      <w:r>
        <w:rPr>
          <w:rFonts w:hint="eastAsia" w:ascii="宋体" w:hAnsi="宋体"/>
          <w:sz w:val="24"/>
        </w:rPr>
        <w:t>示值误差</w:t>
      </w:r>
      <w:r>
        <w:rPr>
          <w:rFonts w:hint="eastAsia" w:ascii="宋体" w:hAnsi="宋体"/>
          <w:sz w:val="24"/>
          <w:szCs w:val="24"/>
        </w:rPr>
        <w:t>和</w:t>
      </w:r>
      <w:r>
        <w:rPr>
          <w:rFonts w:hint="eastAsia" w:ascii="宋体" w:hAnsi="宋体"/>
          <w:sz w:val="24"/>
        </w:rPr>
        <w:t>偏载示值误差</w:t>
      </w:r>
      <w:r>
        <w:rPr>
          <w:rFonts w:ascii="宋体" w:hAnsi="宋体"/>
          <w:sz w:val="24"/>
          <w:szCs w:val="24"/>
        </w:rPr>
        <w:t>指标的具体校准方法进行了说明</w:t>
      </w:r>
      <w:r>
        <w:rPr>
          <w:rFonts w:hint="eastAsia" w:ascii="宋体" w:hAnsi="宋体"/>
          <w:sz w:val="24"/>
          <w:szCs w:val="24"/>
        </w:rPr>
        <w:t>和数学公式化处理。</w:t>
      </w:r>
    </w:p>
    <w:p w14:paraId="3A120AAC">
      <w:pPr>
        <w:spacing w:line="360" w:lineRule="auto"/>
        <w:ind w:firstLine="480" w:firstLineChars="200"/>
        <w:rPr>
          <w:rFonts w:ascii="宋体" w:hAnsi="宋体"/>
          <w:b w:val="0"/>
          <w:sz w:val="24"/>
        </w:rPr>
      </w:pPr>
      <w:r>
        <w:rPr>
          <w:rFonts w:ascii="宋体" w:hAnsi="宋体"/>
          <w:b w:val="0"/>
          <w:sz w:val="24"/>
        </w:rPr>
        <w:t>8、校准结果表达</w:t>
      </w:r>
    </w:p>
    <w:p w14:paraId="517E5E73">
      <w:pPr>
        <w:spacing w:line="360" w:lineRule="auto"/>
        <w:ind w:firstLine="480" w:firstLineChars="200"/>
        <w:rPr>
          <w:rFonts w:ascii="宋体" w:hAnsi="宋体"/>
          <w:sz w:val="24"/>
          <w:szCs w:val="24"/>
        </w:rPr>
      </w:pPr>
      <w:r>
        <w:rPr>
          <w:rFonts w:ascii="宋体" w:hAnsi="宋体"/>
          <w:sz w:val="24"/>
          <w:szCs w:val="24"/>
        </w:rPr>
        <w:t>经过校准的</w:t>
      </w:r>
      <w:r>
        <w:rPr>
          <w:rFonts w:hint="eastAsia" w:ascii="宋体" w:hAnsi="宋体"/>
          <w:sz w:val="24"/>
        </w:rPr>
        <w:t>动态包裹计重系统</w:t>
      </w:r>
      <w:r>
        <w:rPr>
          <w:rFonts w:ascii="宋体" w:hAnsi="宋体"/>
          <w:sz w:val="24"/>
          <w:szCs w:val="24"/>
        </w:rPr>
        <w:t>出具校准证书，证书应符合JJF 1071-2010中5.12的要求，校准记录格式见附录</w:t>
      </w:r>
      <w:r>
        <w:rPr>
          <w:rFonts w:ascii="宋体" w:hAnsi="宋体"/>
          <w:sz w:val="24"/>
        </w:rPr>
        <w:t>B</w:t>
      </w:r>
      <w:r>
        <w:rPr>
          <w:rFonts w:ascii="宋体" w:hAnsi="宋体"/>
          <w:sz w:val="24"/>
          <w:szCs w:val="24"/>
        </w:rPr>
        <w:t>，校准证书内容见附录</w:t>
      </w:r>
      <w:r>
        <w:rPr>
          <w:rFonts w:ascii="宋体" w:hAnsi="宋体"/>
          <w:sz w:val="24"/>
        </w:rPr>
        <w:t>C</w:t>
      </w:r>
      <w:r>
        <w:rPr>
          <w:rFonts w:ascii="宋体" w:hAnsi="宋体"/>
          <w:sz w:val="24"/>
          <w:szCs w:val="24"/>
        </w:rPr>
        <w:t>。</w:t>
      </w:r>
    </w:p>
    <w:p w14:paraId="72442F21">
      <w:pPr>
        <w:spacing w:line="360" w:lineRule="auto"/>
        <w:ind w:firstLine="480" w:firstLineChars="200"/>
        <w:rPr>
          <w:rFonts w:ascii="宋体" w:hAnsi="宋体"/>
          <w:b w:val="0"/>
          <w:sz w:val="24"/>
        </w:rPr>
      </w:pPr>
      <w:r>
        <w:rPr>
          <w:rFonts w:ascii="宋体" w:hAnsi="宋体"/>
          <w:b w:val="0"/>
          <w:sz w:val="24"/>
        </w:rPr>
        <w:t>9、复校时间间隔</w:t>
      </w:r>
    </w:p>
    <w:p w14:paraId="1704074D">
      <w:pPr>
        <w:spacing w:line="360" w:lineRule="auto"/>
        <w:ind w:firstLine="480" w:firstLineChars="200"/>
        <w:rPr>
          <w:rFonts w:ascii="宋体" w:hAnsi="宋体"/>
          <w:sz w:val="24"/>
          <w:szCs w:val="24"/>
        </w:rPr>
      </w:pPr>
      <w:r>
        <w:rPr>
          <w:rFonts w:ascii="宋体" w:hAnsi="宋体"/>
          <w:sz w:val="24"/>
          <w:szCs w:val="24"/>
        </w:rPr>
        <w:t>由于复校时间间隔的长短是由</w:t>
      </w:r>
      <w:r>
        <w:rPr>
          <w:rFonts w:hint="eastAsia" w:ascii="宋体" w:hAnsi="宋体"/>
          <w:sz w:val="24"/>
        </w:rPr>
        <w:t>动态包裹计重系统</w:t>
      </w:r>
      <w:r>
        <w:rPr>
          <w:rFonts w:ascii="宋体" w:hAnsi="宋体"/>
          <w:sz w:val="24"/>
          <w:szCs w:val="24"/>
        </w:rPr>
        <w:t>的</w:t>
      </w:r>
      <w:r>
        <w:rPr>
          <w:rStyle w:val="10"/>
          <w:rFonts w:hint="eastAsia" w:ascii="宋体" w:hAnsi="宋体"/>
          <w:sz w:val="24"/>
        </w:rPr>
        <w:t>校准结果、使用频次、使用条件等</w:t>
      </w:r>
      <w:r>
        <w:rPr>
          <w:rFonts w:ascii="宋体" w:hAnsi="宋体"/>
          <w:sz w:val="24"/>
          <w:szCs w:val="24"/>
        </w:rPr>
        <w:t>诸因素所决定的</w:t>
      </w:r>
      <w:r>
        <w:rPr>
          <w:rFonts w:hint="eastAsia" w:ascii="宋体" w:hAnsi="宋体"/>
          <w:sz w:val="24"/>
          <w:szCs w:val="24"/>
        </w:rPr>
        <w:t>，</w:t>
      </w:r>
      <w:r>
        <w:rPr>
          <w:rFonts w:ascii="宋体" w:hAnsi="宋体"/>
          <w:sz w:val="24"/>
          <w:szCs w:val="24"/>
        </w:rPr>
        <w:t>建议复效时间间隔不超过1年。依据实际情况可缩短建议复校时间间隔</w:t>
      </w:r>
      <w:r>
        <w:rPr>
          <w:rFonts w:hint="eastAsia" w:ascii="宋体" w:hAnsi="宋体"/>
          <w:sz w:val="24"/>
          <w:szCs w:val="24"/>
        </w:rPr>
        <w:t>。</w:t>
      </w:r>
    </w:p>
    <w:p w14:paraId="46F2DD13">
      <w:pPr>
        <w:spacing w:line="360" w:lineRule="auto"/>
        <w:ind w:firstLine="480" w:firstLineChars="200"/>
        <w:rPr>
          <w:rFonts w:ascii="宋体" w:hAnsi="宋体"/>
          <w:b w:val="0"/>
          <w:sz w:val="24"/>
        </w:rPr>
      </w:pPr>
      <w:r>
        <w:rPr>
          <w:rFonts w:ascii="宋体" w:hAnsi="宋体"/>
          <w:b w:val="0"/>
          <w:sz w:val="24"/>
        </w:rPr>
        <w:t>10、附录</w:t>
      </w:r>
    </w:p>
    <w:p w14:paraId="6575FB3F">
      <w:pPr>
        <w:spacing w:line="360" w:lineRule="auto"/>
        <w:ind w:firstLine="480" w:firstLineChars="200"/>
        <w:rPr>
          <w:rFonts w:hint="eastAsia" w:ascii="宋体" w:hAnsi="宋体"/>
          <w:sz w:val="24"/>
          <w:szCs w:val="24"/>
        </w:rPr>
      </w:pPr>
      <w:r>
        <w:rPr>
          <w:rFonts w:ascii="宋体" w:hAnsi="宋体"/>
          <w:sz w:val="24"/>
          <w:szCs w:val="24"/>
        </w:rPr>
        <w:t>征求意见稿中</w:t>
      </w:r>
      <w:r>
        <w:rPr>
          <w:rFonts w:ascii="宋体" w:hAnsi="宋体"/>
          <w:sz w:val="24"/>
        </w:rPr>
        <w:t>附录</w:t>
      </w:r>
      <w:r>
        <w:rPr>
          <w:rFonts w:hint="eastAsia" w:ascii="宋体" w:hAnsi="宋体"/>
          <w:sz w:val="24"/>
        </w:rPr>
        <w:t>A给出了试验测量块参考质量值、参考几何值(长、宽、高)的测量方法，</w:t>
      </w:r>
      <w:r>
        <w:rPr>
          <w:rFonts w:ascii="宋体" w:hAnsi="宋体"/>
          <w:sz w:val="24"/>
          <w:szCs w:val="24"/>
        </w:rPr>
        <w:t>附录</w:t>
      </w:r>
      <w:r>
        <w:rPr>
          <w:rFonts w:ascii="宋体" w:hAnsi="宋体"/>
          <w:sz w:val="24"/>
        </w:rPr>
        <w:t>C</w:t>
      </w:r>
      <w:r>
        <w:rPr>
          <w:rFonts w:hint="eastAsia" w:ascii="宋体" w:hAnsi="宋体"/>
          <w:sz w:val="24"/>
          <w:szCs w:val="24"/>
        </w:rPr>
        <w:t>和</w:t>
      </w:r>
      <w:r>
        <w:rPr>
          <w:rFonts w:ascii="宋体" w:hAnsi="宋体"/>
          <w:sz w:val="24"/>
          <w:szCs w:val="24"/>
        </w:rPr>
        <w:t>附录</w:t>
      </w:r>
      <w:r>
        <w:rPr>
          <w:rFonts w:hint="eastAsia" w:ascii="宋体" w:hAnsi="宋体"/>
          <w:sz w:val="24"/>
        </w:rPr>
        <w:t>C</w:t>
      </w:r>
      <w:r>
        <w:rPr>
          <w:rFonts w:ascii="宋体" w:hAnsi="宋体"/>
          <w:sz w:val="24"/>
          <w:szCs w:val="24"/>
        </w:rPr>
        <w:t>给出了校准记录和校准证书的内容，附录</w:t>
      </w:r>
      <w:r>
        <w:rPr>
          <w:rFonts w:ascii="宋体" w:hAnsi="宋体"/>
          <w:sz w:val="24"/>
        </w:rPr>
        <w:t>D</w:t>
      </w:r>
      <w:r>
        <w:rPr>
          <w:rFonts w:ascii="宋体" w:hAnsi="宋体"/>
          <w:sz w:val="24"/>
          <w:szCs w:val="24"/>
        </w:rPr>
        <w:t>给出了</w:t>
      </w:r>
      <w:r>
        <w:rPr>
          <w:rFonts w:hint="eastAsia" w:ascii="宋体" w:hAnsi="宋体"/>
          <w:sz w:val="24"/>
        </w:rPr>
        <w:t>动态包裹计重系统测量结果不确定度评定方法，</w:t>
      </w:r>
      <w:r>
        <w:rPr>
          <w:rFonts w:ascii="宋体" w:hAnsi="宋体"/>
          <w:sz w:val="24"/>
        </w:rPr>
        <w:t>附录E</w:t>
      </w:r>
      <w:r>
        <w:rPr>
          <w:rFonts w:hint="eastAsia" w:ascii="宋体" w:hAnsi="宋体"/>
          <w:sz w:val="24"/>
        </w:rPr>
        <w:t>给出了动态包裹计重系统测量结果</w:t>
      </w:r>
      <w:r>
        <w:rPr>
          <w:rFonts w:hint="eastAsia" w:ascii="宋体" w:hAnsi="宋体"/>
          <w:sz w:val="24"/>
          <w:szCs w:val="24"/>
        </w:rPr>
        <w:t>不确定度评定示</w:t>
      </w:r>
      <w:r>
        <w:rPr>
          <w:rFonts w:ascii="宋体" w:hAnsi="宋体"/>
          <w:sz w:val="24"/>
          <w:szCs w:val="24"/>
        </w:rPr>
        <w:t>例。</w:t>
      </w:r>
    </w:p>
    <w:p w14:paraId="38143BAD">
      <w:pPr>
        <w:spacing w:line="360" w:lineRule="auto"/>
        <w:ind w:left="0" w:leftChars="0" w:firstLine="480" w:firstLineChars="200"/>
        <w:rPr>
          <w:rFonts w:ascii="宋体" w:hAnsi="宋体"/>
          <w:sz w:val="24"/>
        </w:rPr>
      </w:pPr>
      <w:r>
        <w:rPr>
          <w:rFonts w:ascii="宋体" w:hAnsi="宋体"/>
          <w:sz w:val="24"/>
        </w:rPr>
        <w:t>希望委员和专家们提出宝贵意见，使</w:t>
      </w:r>
      <w:r>
        <w:rPr>
          <w:rFonts w:hint="eastAsia" w:ascii="宋体" w:hAnsi="宋体"/>
          <w:sz w:val="24"/>
        </w:rPr>
        <w:t>制订工作</w:t>
      </w:r>
      <w:r>
        <w:rPr>
          <w:rFonts w:ascii="宋体" w:hAnsi="宋体"/>
          <w:sz w:val="24"/>
        </w:rPr>
        <w:t>更加科学、合理和适用。</w:t>
      </w:r>
    </w:p>
    <w:p w14:paraId="5FFEFF88">
      <w:pPr>
        <w:spacing w:line="360" w:lineRule="auto"/>
        <w:ind w:left="-181" w:leftChars="-86" w:firstLine="480" w:firstLineChars="200"/>
        <w:rPr>
          <w:rFonts w:ascii="宋体" w:hAnsi="宋体"/>
          <w:sz w:val="24"/>
        </w:rPr>
      </w:pPr>
    </w:p>
    <w:p w14:paraId="28087BF2">
      <w:pPr>
        <w:spacing w:line="360" w:lineRule="auto"/>
        <w:ind w:left="-181" w:leftChars="-86" w:firstLine="480" w:firstLineChars="200"/>
        <w:jc w:val="right"/>
        <w:rPr>
          <w:rFonts w:ascii="宋体" w:hAnsi="宋体"/>
          <w:sz w:val="24"/>
        </w:rPr>
      </w:pPr>
      <w:r>
        <w:rPr>
          <w:rFonts w:ascii="宋体" w:hAnsi="宋体"/>
          <w:sz w:val="24"/>
        </w:rPr>
        <w:t xml:space="preserve">                   </w:t>
      </w:r>
      <w:r>
        <w:rPr>
          <w:rFonts w:hint="eastAsia" w:ascii="宋体" w:hAnsi="宋体"/>
          <w:sz w:val="24"/>
        </w:rPr>
        <w:t xml:space="preserve">                 规范</w:t>
      </w:r>
      <w:r>
        <w:rPr>
          <w:rFonts w:ascii="宋体" w:hAnsi="宋体"/>
          <w:sz w:val="24"/>
        </w:rPr>
        <w:t>起草小组</w:t>
      </w:r>
    </w:p>
    <w:p w14:paraId="6F2D6FAB">
      <w:pPr>
        <w:spacing w:line="360" w:lineRule="auto"/>
        <w:ind w:left="-181" w:leftChars="-86" w:firstLine="4800" w:firstLineChars="2000"/>
        <w:jc w:val="right"/>
        <w:rPr>
          <w:rFonts w:ascii="宋体" w:hAnsi="宋体"/>
          <w:sz w:val="24"/>
        </w:rPr>
      </w:pPr>
      <w:r>
        <w:rPr>
          <w:rFonts w:ascii="宋体" w:hAnsi="宋体"/>
          <w:sz w:val="24"/>
        </w:rPr>
        <w:t>202</w:t>
      </w:r>
      <w:r>
        <w:rPr>
          <w:rFonts w:hint="eastAsia" w:ascii="宋体" w:hAnsi="宋体"/>
          <w:sz w:val="24"/>
        </w:rPr>
        <w:t>4年</w:t>
      </w:r>
      <w:r>
        <w:rPr>
          <w:rFonts w:hint="eastAsia" w:ascii="宋体" w:hAnsi="宋体"/>
          <w:sz w:val="24"/>
          <w:lang w:val="en-US" w:eastAsia="zh-CN"/>
        </w:rPr>
        <w:t>9</w:t>
      </w:r>
      <w:bookmarkStart w:id="0" w:name="_GoBack"/>
      <w:bookmarkEnd w:id="0"/>
      <w:r>
        <w:rPr>
          <w:rFonts w:ascii="宋体" w:hAnsi="宋体"/>
          <w:sz w:val="24"/>
        </w:rPr>
        <w:t>月</w:t>
      </w:r>
    </w:p>
    <w:p w14:paraId="7DC626B5">
      <w:pPr>
        <w:spacing w:line="360" w:lineRule="auto"/>
        <w:rPr>
          <w:sz w:val="24"/>
        </w:rPr>
      </w:pPr>
    </w:p>
    <w:p w14:paraId="5193ED3A">
      <w:pPr>
        <w:spacing w:line="360" w:lineRule="auto"/>
        <w:rPr>
          <w:rFonts w:ascii="宋体" w:hAnsi="宋体"/>
          <w:sz w:val="24"/>
        </w:rPr>
      </w:pPr>
    </w:p>
    <w:sectPr>
      <w:footerReference r:id="rId3" w:type="default"/>
      <w:footerReference r:id="rId4" w:type="even"/>
      <w:pgSz w:w="11906" w:h="16838"/>
      <w:pgMar w:top="1440" w:right="1800" w:bottom="1440" w:left="1800" w:header="851" w:footer="992" w:gutter="0"/>
      <w:pgNumType w:start="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DJLJNL+Arial">
    <w:altName w:val="Arial"/>
    <w:panose1 w:val="00000000000000000000"/>
    <w:charset w:val="00"/>
    <w:family w:val="swiss"/>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2D647">
    <w:pPr>
      <w:pStyle w:val="5"/>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4</w:t>
    </w:r>
    <w:r>
      <w:rPr>
        <w:rStyle w:val="12"/>
      </w:rPr>
      <w:fldChar w:fldCharType="end"/>
    </w:r>
  </w:p>
  <w:p w14:paraId="5B9CBE9F">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B5789">
    <w:pPr>
      <w:pStyle w:val="5"/>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59C666CE">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CEA2025"/>
    <w:multiLevelType w:val="multilevel"/>
    <w:tmpl w:val="6CEA2025"/>
    <w:lvl w:ilvl="0" w:tentative="0">
      <w:start w:val="1"/>
      <w:numFmt w:val="none"/>
      <w:pStyle w:val="17"/>
      <w:suff w:val="nothing"/>
      <w:lvlText w:val="%1"/>
      <w:lvlJc w:val="left"/>
      <w:pPr>
        <w:ind w:left="0" w:firstLine="0"/>
      </w:pPr>
      <w:rPr>
        <w:rFonts w:hint="default" w:ascii="Times New Roman" w:hAnsi="Times New Roman"/>
        <w:b/>
        <w:i w:val="0"/>
        <w:sz w:val="21"/>
      </w:rPr>
    </w:lvl>
    <w:lvl w:ilvl="1" w:tentative="0">
      <w:start w:val="7"/>
      <w:numFmt w:val="decimal"/>
      <w:pStyle w:val="14"/>
      <w:suff w:val="nothing"/>
      <w:lvlText w:val="%1%2　"/>
      <w:lvlJc w:val="left"/>
      <w:pPr>
        <w:ind w:left="0" w:firstLine="0"/>
      </w:pPr>
      <w:rPr>
        <w:rFonts w:hint="eastAsia" w:ascii="黑体" w:hAnsi="Times New Roman" w:eastAsia="黑体"/>
        <w:b w:val="0"/>
        <w:i w:val="0"/>
        <w:sz w:val="21"/>
      </w:rPr>
    </w:lvl>
    <w:lvl w:ilvl="2" w:tentative="0">
      <w:start w:val="1"/>
      <w:numFmt w:val="decimal"/>
      <w:pStyle w:val="15"/>
      <w:suff w:val="nothing"/>
      <w:lvlText w:val="%1%2.%3　"/>
      <w:lvlJc w:val="left"/>
      <w:pPr>
        <w:ind w:left="0" w:firstLine="0"/>
      </w:pPr>
      <w:rPr>
        <w:rFonts w:hint="eastAsia" w:ascii="黑体" w:hAnsi="Times New Roman" w:eastAsia="黑体"/>
        <w:b w:val="0"/>
        <w:i w:val="0"/>
        <w:sz w:val="21"/>
      </w:rPr>
    </w:lvl>
    <w:lvl w:ilvl="3" w:tentative="0">
      <w:start w:val="4"/>
      <w:numFmt w:val="none"/>
      <w:pStyle w:val="16"/>
      <w:suff w:val="nothing"/>
      <w:lvlText w:val="7.4.1　"/>
      <w:lvlJc w:val="left"/>
      <w:pPr>
        <w:ind w:left="0" w:firstLine="0"/>
      </w:pPr>
      <w:rPr>
        <w:rFonts w:hint="eastAsia" w:ascii="黑体" w:hAnsi="Times New Roman" w:eastAsia="黑体"/>
        <w:b w:val="0"/>
        <w:i w:val="0"/>
        <w:sz w:val="21"/>
      </w:rPr>
    </w:lvl>
    <w:lvl w:ilvl="4" w:tentative="0">
      <w:start w:val="1"/>
      <w:numFmt w:val="decimal"/>
      <w:pStyle w:val="18"/>
      <w:suff w:val="nothing"/>
      <w:lvlText w:val="%1%2.%3.%4.%5　"/>
      <w:lvlJc w:val="left"/>
      <w:pPr>
        <w:ind w:left="0" w:firstLine="0"/>
      </w:pPr>
      <w:rPr>
        <w:rFonts w:hint="eastAsia" w:ascii="黑体" w:hAnsi="Times New Roman" w:eastAsia="黑体"/>
        <w:b w:val="0"/>
        <w:i w:val="0"/>
        <w:sz w:val="21"/>
      </w:rPr>
    </w:lvl>
    <w:lvl w:ilvl="5" w:tentative="0">
      <w:start w:val="1"/>
      <w:numFmt w:val="decimal"/>
      <w:pStyle w:val="19"/>
      <w:suff w:val="nothing"/>
      <w:lvlText w:val="%1%2.%3.%4.%5.%6　"/>
      <w:lvlJc w:val="left"/>
      <w:pPr>
        <w:ind w:left="0" w:firstLine="0"/>
      </w:pPr>
      <w:rPr>
        <w:rFonts w:hint="eastAsia" w:ascii="黑体" w:hAnsi="Times New Roman" w:eastAsia="黑体"/>
        <w:b w:val="0"/>
        <w:i w:val="0"/>
        <w:sz w:val="21"/>
      </w:rPr>
    </w:lvl>
    <w:lvl w:ilvl="6" w:tentative="0">
      <w:start w:val="1"/>
      <w:numFmt w:val="decimal"/>
      <w:pStyle w:val="2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5OWE3OTdiNGRiYjNjYWE0ZDZiNDY3MjBiMGY2N2EifQ=="/>
  </w:docVars>
  <w:rsids>
    <w:rsidRoot w:val="009C547B"/>
    <w:rsid w:val="00006CCD"/>
    <w:rsid w:val="00017FB3"/>
    <w:rsid w:val="00046F66"/>
    <w:rsid w:val="001040A5"/>
    <w:rsid w:val="00104AF5"/>
    <w:rsid w:val="001076F9"/>
    <w:rsid w:val="0011203B"/>
    <w:rsid w:val="00124E87"/>
    <w:rsid w:val="00176DD6"/>
    <w:rsid w:val="001A124C"/>
    <w:rsid w:val="001A5393"/>
    <w:rsid w:val="001C07F8"/>
    <w:rsid w:val="001F14FE"/>
    <w:rsid w:val="001F276E"/>
    <w:rsid w:val="00216B3A"/>
    <w:rsid w:val="00221436"/>
    <w:rsid w:val="002360AC"/>
    <w:rsid w:val="002A62A0"/>
    <w:rsid w:val="002B0F9A"/>
    <w:rsid w:val="002E0B7D"/>
    <w:rsid w:val="002F05CF"/>
    <w:rsid w:val="002F2A4A"/>
    <w:rsid w:val="00301FF8"/>
    <w:rsid w:val="00363A7A"/>
    <w:rsid w:val="00397745"/>
    <w:rsid w:val="003C48EB"/>
    <w:rsid w:val="003D4C04"/>
    <w:rsid w:val="004212F2"/>
    <w:rsid w:val="00433CB4"/>
    <w:rsid w:val="004437B0"/>
    <w:rsid w:val="00444BAA"/>
    <w:rsid w:val="004B35A6"/>
    <w:rsid w:val="004B7FD2"/>
    <w:rsid w:val="004C2B2F"/>
    <w:rsid w:val="004D0024"/>
    <w:rsid w:val="004D2AD3"/>
    <w:rsid w:val="004E67EC"/>
    <w:rsid w:val="004E6EFD"/>
    <w:rsid w:val="00513ED4"/>
    <w:rsid w:val="0053267D"/>
    <w:rsid w:val="00540717"/>
    <w:rsid w:val="00556660"/>
    <w:rsid w:val="0056288D"/>
    <w:rsid w:val="00570906"/>
    <w:rsid w:val="005A25A8"/>
    <w:rsid w:val="005A5313"/>
    <w:rsid w:val="005B5832"/>
    <w:rsid w:val="005C7A53"/>
    <w:rsid w:val="00601A5A"/>
    <w:rsid w:val="00623CF3"/>
    <w:rsid w:val="006A1620"/>
    <w:rsid w:val="006D00EF"/>
    <w:rsid w:val="006D2238"/>
    <w:rsid w:val="007122BB"/>
    <w:rsid w:val="007131BA"/>
    <w:rsid w:val="00782129"/>
    <w:rsid w:val="00787326"/>
    <w:rsid w:val="007A6858"/>
    <w:rsid w:val="007B34F3"/>
    <w:rsid w:val="007B7180"/>
    <w:rsid w:val="007C0C34"/>
    <w:rsid w:val="007E7CD5"/>
    <w:rsid w:val="007F2F6A"/>
    <w:rsid w:val="00802921"/>
    <w:rsid w:val="00823766"/>
    <w:rsid w:val="00827553"/>
    <w:rsid w:val="008331F8"/>
    <w:rsid w:val="008407C7"/>
    <w:rsid w:val="0086534B"/>
    <w:rsid w:val="00866257"/>
    <w:rsid w:val="008848EF"/>
    <w:rsid w:val="008878AD"/>
    <w:rsid w:val="00890D44"/>
    <w:rsid w:val="00895ADC"/>
    <w:rsid w:val="00896452"/>
    <w:rsid w:val="008D3D67"/>
    <w:rsid w:val="008D408E"/>
    <w:rsid w:val="008F243D"/>
    <w:rsid w:val="008F7008"/>
    <w:rsid w:val="00920CE5"/>
    <w:rsid w:val="00930CE1"/>
    <w:rsid w:val="00935E65"/>
    <w:rsid w:val="00967BEA"/>
    <w:rsid w:val="009A03C8"/>
    <w:rsid w:val="009A3043"/>
    <w:rsid w:val="009B7902"/>
    <w:rsid w:val="009C547B"/>
    <w:rsid w:val="00A335D7"/>
    <w:rsid w:val="00A338B0"/>
    <w:rsid w:val="00AA3D66"/>
    <w:rsid w:val="00AB210F"/>
    <w:rsid w:val="00B0144A"/>
    <w:rsid w:val="00B11A56"/>
    <w:rsid w:val="00B23424"/>
    <w:rsid w:val="00B2598D"/>
    <w:rsid w:val="00B37E0C"/>
    <w:rsid w:val="00B52D73"/>
    <w:rsid w:val="00B715A8"/>
    <w:rsid w:val="00BB2876"/>
    <w:rsid w:val="00BE1BAD"/>
    <w:rsid w:val="00C00730"/>
    <w:rsid w:val="00C00C64"/>
    <w:rsid w:val="00C30DB1"/>
    <w:rsid w:val="00C64CAD"/>
    <w:rsid w:val="00C7732F"/>
    <w:rsid w:val="00CD0BA0"/>
    <w:rsid w:val="00CD21F3"/>
    <w:rsid w:val="00D0376C"/>
    <w:rsid w:val="00D16CB8"/>
    <w:rsid w:val="00D40053"/>
    <w:rsid w:val="00D52146"/>
    <w:rsid w:val="00D80878"/>
    <w:rsid w:val="00DC4FD9"/>
    <w:rsid w:val="00DE6EFD"/>
    <w:rsid w:val="00DF1529"/>
    <w:rsid w:val="00E20E7F"/>
    <w:rsid w:val="00E34F50"/>
    <w:rsid w:val="00E57E45"/>
    <w:rsid w:val="00E7196C"/>
    <w:rsid w:val="00EC7514"/>
    <w:rsid w:val="00ED07F0"/>
    <w:rsid w:val="00EF07A1"/>
    <w:rsid w:val="00EF21D2"/>
    <w:rsid w:val="00F05785"/>
    <w:rsid w:val="00F23BDE"/>
    <w:rsid w:val="00F433F8"/>
    <w:rsid w:val="00F7090B"/>
    <w:rsid w:val="00F72810"/>
    <w:rsid w:val="00FB05BB"/>
    <w:rsid w:val="00FC2ED4"/>
    <w:rsid w:val="00FE1014"/>
    <w:rsid w:val="0F063B12"/>
    <w:rsid w:val="2D2341D1"/>
    <w:rsid w:val="3A3B2C10"/>
    <w:rsid w:val="3C1C47B1"/>
    <w:rsid w:val="456F5201"/>
    <w:rsid w:val="64E51188"/>
    <w:rsid w:val="67A847B5"/>
    <w:rsid w:val="79630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260" w:after="260" w:line="416" w:lineRule="auto"/>
      <w:outlineLvl w:val="2"/>
    </w:pPr>
    <w:rPr>
      <w:b/>
      <w:bCs/>
      <w:sz w:val="32"/>
      <w:szCs w:val="32"/>
    </w:rPr>
  </w:style>
  <w:style w:type="character" w:default="1" w:styleId="10">
    <w:name w:val="Default Paragraph Font"/>
    <w:autoRedefine/>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Body Text Indent"/>
    <w:basedOn w:val="1"/>
    <w:autoRedefine/>
    <w:qFormat/>
    <w:uiPriority w:val="0"/>
    <w:pPr>
      <w:ind w:left="-1020"/>
    </w:pPr>
    <w:rPr>
      <w:rFonts w:ascii="宋体" w:hAnsi="宋体"/>
      <w:sz w:val="28"/>
    </w:rPr>
  </w:style>
  <w:style w:type="paragraph" w:styleId="4">
    <w:name w:val="Balloon Text"/>
    <w:basedOn w:val="1"/>
    <w:link w:val="21"/>
    <w:uiPriority w:val="0"/>
    <w:rPr>
      <w:sz w:val="18"/>
      <w:szCs w:val="18"/>
    </w:r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header"/>
    <w:basedOn w:val="1"/>
    <w:link w:val="13"/>
    <w:autoRedefine/>
    <w:qFormat/>
    <w:uiPriority w:val="0"/>
    <w:pPr>
      <w:pBdr>
        <w:bottom w:val="single" w:color="auto" w:sz="6" w:space="1"/>
      </w:pBdr>
      <w:tabs>
        <w:tab w:val="center" w:pos="4153"/>
        <w:tab w:val="right" w:pos="8306"/>
      </w:tabs>
      <w:snapToGrid w:val="0"/>
      <w:jc w:val="center"/>
    </w:pPr>
    <w:rPr>
      <w:sz w:val="18"/>
      <w:szCs w:val="18"/>
      <w:lang w:val="zh-CN"/>
    </w:rPr>
  </w:style>
  <w:style w:type="paragraph" w:styleId="7">
    <w:name w:val="Body Text Indent 3"/>
    <w:basedOn w:val="1"/>
    <w:autoRedefine/>
    <w:qFormat/>
    <w:uiPriority w:val="0"/>
    <w:pPr>
      <w:spacing w:line="360" w:lineRule="auto"/>
      <w:ind w:firstLine="560" w:firstLineChars="200"/>
      <w:jc w:val="left"/>
    </w:pPr>
    <w:rPr>
      <w:rFonts w:ascii="宋体" w:hAnsi="宋体"/>
      <w:sz w:val="28"/>
    </w:rPr>
  </w:style>
  <w:style w:type="table" w:styleId="9">
    <w:name w:val="Table Grid"/>
    <w:basedOn w:val="8"/>
    <w:autoRedefine/>
    <w:qFormat/>
    <w:uiPriority w:val="59"/>
    <w:rPr>
      <w:rFonts w:ascii="Calibri" w:hAnsi="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qFormat/>
    <w:uiPriority w:val="0"/>
    <w:rPr>
      <w:rFonts w:ascii="黑体" w:hAnsi="宋体" w:eastAsia="黑体"/>
      <w:sz w:val="28"/>
    </w:rPr>
  </w:style>
  <w:style w:type="character" w:styleId="12">
    <w:name w:val="page number"/>
    <w:basedOn w:val="10"/>
    <w:qFormat/>
    <w:uiPriority w:val="0"/>
  </w:style>
  <w:style w:type="character" w:customStyle="1" w:styleId="13">
    <w:name w:val="页眉 字符"/>
    <w:link w:val="6"/>
    <w:uiPriority w:val="0"/>
    <w:rPr>
      <w:kern w:val="2"/>
      <w:sz w:val="18"/>
      <w:szCs w:val="18"/>
    </w:rPr>
  </w:style>
  <w:style w:type="paragraph" w:customStyle="1" w:styleId="14">
    <w:name w:val="标准文件_章标题"/>
    <w:next w:val="1"/>
    <w:autoRedefine/>
    <w:qFormat/>
    <w:uiPriority w:val="0"/>
    <w:pPr>
      <w:numPr>
        <w:ilvl w:val="1"/>
        <w:numId w:val="1"/>
      </w:numPr>
      <w:spacing w:beforeLines="50"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15">
    <w:name w:val="标准文件_一级条标题"/>
    <w:basedOn w:val="14"/>
    <w:next w:val="1"/>
    <w:uiPriority w:val="0"/>
    <w:pPr>
      <w:numPr>
        <w:ilvl w:val="2"/>
      </w:numPr>
      <w:spacing w:beforeLines="0" w:afterLines="0"/>
      <w:outlineLvl w:val="2"/>
    </w:pPr>
  </w:style>
  <w:style w:type="paragraph" w:customStyle="1" w:styleId="16">
    <w:name w:val="标准文件_二级条标题"/>
    <w:basedOn w:val="15"/>
    <w:next w:val="1"/>
    <w:uiPriority w:val="0"/>
    <w:pPr>
      <w:numPr>
        <w:ilvl w:val="3"/>
      </w:numPr>
      <w:outlineLvl w:val="3"/>
    </w:pPr>
  </w:style>
  <w:style w:type="paragraph" w:customStyle="1" w:styleId="17">
    <w:name w:val="前言标题"/>
    <w:next w:val="1"/>
    <w:autoRedefine/>
    <w:qFormat/>
    <w:uiPriority w:val="0"/>
    <w:pPr>
      <w:numPr>
        <w:ilvl w:val="0"/>
        <w:numId w:val="1"/>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8">
    <w:name w:val="标准文件_三级条标题"/>
    <w:basedOn w:val="16"/>
    <w:next w:val="1"/>
    <w:autoRedefine/>
    <w:qFormat/>
    <w:uiPriority w:val="0"/>
    <w:pPr>
      <w:numPr>
        <w:ilvl w:val="4"/>
      </w:numPr>
      <w:outlineLvl w:val="4"/>
    </w:pPr>
  </w:style>
  <w:style w:type="paragraph" w:customStyle="1" w:styleId="19">
    <w:name w:val="标准文件_四级条标题"/>
    <w:basedOn w:val="18"/>
    <w:next w:val="1"/>
    <w:autoRedefine/>
    <w:qFormat/>
    <w:uiPriority w:val="0"/>
    <w:pPr>
      <w:numPr>
        <w:ilvl w:val="5"/>
      </w:numPr>
      <w:outlineLvl w:val="5"/>
    </w:pPr>
  </w:style>
  <w:style w:type="paragraph" w:customStyle="1" w:styleId="20">
    <w:name w:val="标准文件_五级条标题"/>
    <w:basedOn w:val="19"/>
    <w:next w:val="1"/>
    <w:autoRedefine/>
    <w:qFormat/>
    <w:uiPriority w:val="0"/>
    <w:pPr>
      <w:numPr>
        <w:ilvl w:val="6"/>
      </w:numPr>
      <w:outlineLvl w:val="6"/>
    </w:pPr>
  </w:style>
  <w:style w:type="character" w:customStyle="1" w:styleId="21">
    <w:name w:val="批注框文本 字符"/>
    <w:basedOn w:val="10"/>
    <w:link w:val="4"/>
    <w:autoRedefine/>
    <w:qFormat/>
    <w:uiPriority w:val="0"/>
    <w:rPr>
      <w:kern w:val="2"/>
      <w:sz w:val="18"/>
      <w:szCs w:val="18"/>
    </w:rPr>
  </w:style>
  <w:style w:type="paragraph" w:customStyle="1" w:styleId="22">
    <w:name w:val="Default"/>
    <w:basedOn w:val="1"/>
    <w:autoRedefine/>
    <w:qFormat/>
    <w:uiPriority w:val="0"/>
    <w:pPr>
      <w:widowControl/>
      <w:autoSpaceDE w:val="0"/>
      <w:autoSpaceDN w:val="0"/>
      <w:jc w:val="left"/>
    </w:pPr>
    <w:rPr>
      <w:rFonts w:ascii="DJLJNL+Arial" w:hAnsi="DJLJNL+Arial" w:cs="宋体"/>
      <w:color w:val="000000"/>
      <w:kern w:val="0"/>
      <w:sz w:val="24"/>
    </w:rPr>
  </w:style>
  <w:style w:type="character" w:customStyle="1" w:styleId="23">
    <w:name w:val="translated-span"/>
    <w:basedOn w:val="10"/>
    <w:autoRedefine/>
    <w:qFormat/>
    <w:uiPriority w:val="0"/>
  </w:style>
  <w:style w:type="character" w:customStyle="1" w:styleId="24">
    <w:name w:val="high-light-bg4"/>
    <w:autoRedefine/>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MC SYSTEM</Company>
  <Pages>5</Pages>
  <Words>2318</Words>
  <Characters>2430</Characters>
  <Lines>20</Lines>
  <Paragraphs>5</Paragraphs>
  <TotalTime>1</TotalTime>
  <ScaleCrop>false</ScaleCrop>
  <LinksUpToDate>false</LinksUpToDate>
  <CharactersWithSpaces>2500</CharactersWithSpaces>
  <Application>WPS Office_12.1.0.17150_F1E327BC-269C-435d-A152-05C5408002CA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2024-02-28T08:32:00Z</dcterms:created>
  <dc:creator>MC SYSTEM</dc:creator>
  <cp:lastModifiedBy>吴佳猛</cp:lastModifiedBy>
  <cp:lastPrinted>2006-07-07T03:21:00Z</cp:lastPrinted>
  <dcterms:modified xsi:type="dcterms:W3CDTF">2024-09-28T10:10:24Z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2052-12.1.0.17150</vt:lpwstr>
  </property>
  <property fmtid="{D5CDD505-2E9C-101B-9397-08002B2CF9AE}" pid="3" name="ICV">
    <vt:lpwstr>6EB914FD24BB445DB6330BE884EC8FF9_13</vt:lpwstr>
  </property>
</Properties>
</file>