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D556E" w:rsidRPr="00800834" w:rsidRDefault="00FD556E" w:rsidP="00FD556E">
      <w:pPr>
        <w:spacing w:line="360" w:lineRule="auto"/>
        <w:jc w:val="center"/>
        <w:rPr>
          <w:rFonts w:eastAsia="黑体"/>
          <w:sz w:val="28"/>
          <w:szCs w:val="28"/>
        </w:rPr>
      </w:pPr>
      <w:r>
        <w:rPr>
          <w:rFonts w:ascii="黑体" w:eastAsia="黑体" w:hAnsi="黑体"/>
          <w:color w:val="000000" w:themeColor="text1"/>
          <w:sz w:val="28"/>
          <w:szCs w:val="28"/>
        </w:rPr>
        <w:t>单光子探测器</w:t>
      </w:r>
      <w:r>
        <w:rPr>
          <w:rFonts w:ascii="黑体" w:eastAsia="黑体" w:hAnsi="黑体" w:hint="eastAsia"/>
          <w:color w:val="000000" w:themeColor="text1"/>
          <w:sz w:val="28"/>
          <w:szCs w:val="28"/>
        </w:rPr>
        <w:t>量子效率</w:t>
      </w:r>
      <w:r>
        <w:rPr>
          <w:rFonts w:ascii="黑体" w:eastAsia="黑体" w:hAnsi="黑体"/>
          <w:color w:val="000000" w:themeColor="text1"/>
          <w:sz w:val="28"/>
          <w:szCs w:val="28"/>
        </w:rPr>
        <w:t>测量不确定度评定示</w:t>
      </w:r>
      <w:r>
        <w:rPr>
          <w:rFonts w:ascii="黑体" w:eastAsia="黑体" w:hAnsi="黑体" w:hint="eastAsia"/>
          <w:color w:val="000000" w:themeColor="text1"/>
          <w:sz w:val="28"/>
          <w:szCs w:val="28"/>
        </w:rPr>
        <w:t>例</w:t>
      </w:r>
    </w:p>
    <w:p w:rsidR="003A29DB" w:rsidRPr="00B8163E" w:rsidRDefault="003A29DB" w:rsidP="003A29DB">
      <w:pPr>
        <w:spacing w:beforeLines="50" w:before="156" w:afterLines="50" w:after="156" w:line="360" w:lineRule="auto"/>
        <w:ind w:firstLineChars="200" w:firstLine="420"/>
        <w:rPr>
          <w:color w:val="000000" w:themeColor="text1"/>
        </w:rPr>
      </w:pPr>
      <w:r w:rsidRPr="00B8163E">
        <w:rPr>
          <w:color w:val="000000" w:themeColor="text1"/>
        </w:rPr>
        <w:t>依据单光子探测器校准规范的校准项目和校准条件的规定，</w:t>
      </w:r>
      <w:r w:rsidRPr="00B8163E">
        <w:rPr>
          <w:rFonts w:hint="eastAsia"/>
          <w:color w:val="000000" w:themeColor="text1"/>
        </w:rPr>
        <w:t>本示例展示了利用标准光单光子探测器校准单光子探测器量子效率的测量不确定度评定方法。被校器件为</w:t>
      </w:r>
      <w:r w:rsidRPr="00B8163E">
        <w:rPr>
          <w:rFonts w:hint="eastAsia"/>
          <w:color w:val="000000" w:themeColor="text1"/>
        </w:rPr>
        <w:t>E</w:t>
      </w:r>
      <w:r w:rsidRPr="00B8163E">
        <w:rPr>
          <w:color w:val="000000" w:themeColor="text1"/>
        </w:rPr>
        <w:t>XCELITAS</w:t>
      </w:r>
      <w:r w:rsidRPr="00B8163E">
        <w:rPr>
          <w:color w:val="000000" w:themeColor="text1"/>
        </w:rPr>
        <w:t>公司生产的型号</w:t>
      </w:r>
      <w:r w:rsidRPr="00B8163E">
        <w:rPr>
          <w:color w:val="000000" w:themeColor="text1"/>
        </w:rPr>
        <w:t>SPCM-AQRH-16</w:t>
      </w:r>
      <w:r w:rsidRPr="00B8163E">
        <w:rPr>
          <w:color w:val="000000" w:themeColor="text1"/>
        </w:rPr>
        <w:t>的自由空间型单光子探测器</w:t>
      </w:r>
      <w:r w:rsidRPr="00B8163E">
        <w:rPr>
          <w:rFonts w:hint="eastAsia"/>
          <w:color w:val="000000" w:themeColor="text1"/>
        </w:rPr>
        <w:t>（</w:t>
      </w:r>
      <w:r w:rsidRPr="00B8163E">
        <w:rPr>
          <w:rFonts w:hint="eastAsia"/>
          <w:color w:val="000000" w:themeColor="text1"/>
        </w:rPr>
        <w:t>SAPD</w:t>
      </w:r>
      <w:r w:rsidRPr="00B8163E">
        <w:rPr>
          <w:rFonts w:hint="eastAsia"/>
          <w:color w:val="000000" w:themeColor="text1"/>
        </w:rPr>
        <w:t>）</w:t>
      </w:r>
      <w:r w:rsidRPr="00B8163E">
        <w:rPr>
          <w:color w:val="000000" w:themeColor="text1"/>
        </w:rPr>
        <w:t>。下面主要针对单光子探测器量子效率的不确定度进行分析。</w:t>
      </w:r>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 xml:space="preserve">C.1 </w:t>
      </w:r>
      <w:r w:rsidRPr="00EB1DE4">
        <w:rPr>
          <w:color w:val="000000" w:themeColor="text1"/>
        </w:rPr>
        <w:t>单光子探测器量子效率校准</w:t>
      </w:r>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 xml:space="preserve">C.1.1 </w:t>
      </w:r>
      <w:r w:rsidRPr="00EB1DE4">
        <w:rPr>
          <w:color w:val="000000" w:themeColor="text1"/>
        </w:rPr>
        <w:t>不确定度来源</w:t>
      </w:r>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 xml:space="preserve">C.1.1.1 </w:t>
      </w:r>
      <w:r w:rsidRPr="00EB1DE4">
        <w:rPr>
          <w:rFonts w:hint="eastAsia"/>
          <w:color w:val="000000" w:themeColor="text1"/>
        </w:rPr>
        <w:t>被校</w:t>
      </w:r>
      <w:r w:rsidRPr="00EB1DE4">
        <w:rPr>
          <w:color w:val="000000" w:themeColor="text1"/>
        </w:rPr>
        <w:t>单光子探测器线性度引入的不确定度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1</m:t>
            </m:r>
          </m:sub>
        </m:sSub>
      </m:oMath>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 xml:space="preserve">C.1.1.2 </w:t>
      </w:r>
      <w:r w:rsidRPr="00EB1DE4">
        <w:rPr>
          <w:rFonts w:hint="eastAsia"/>
          <w:color w:val="000000" w:themeColor="text1"/>
        </w:rPr>
        <w:t>被校</w:t>
      </w:r>
      <w:r w:rsidRPr="00EB1DE4">
        <w:rPr>
          <w:color w:val="000000" w:themeColor="text1"/>
        </w:rPr>
        <w:t>单光子探测器探测表面不均匀性引入的不确定度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2</m:t>
            </m:r>
          </m:sub>
        </m:sSub>
      </m:oMath>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 xml:space="preserve">C.1.1.3 </w:t>
      </w:r>
      <w:r w:rsidRPr="00EB1DE4">
        <w:rPr>
          <w:color w:val="000000" w:themeColor="text1"/>
        </w:rPr>
        <w:t>由于测量重复性引入的不确定度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3</m:t>
            </m:r>
          </m:sub>
        </m:sSub>
      </m:oMath>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 xml:space="preserve">C.1.1.4 </w:t>
      </w:r>
      <w:r w:rsidRPr="00EB1DE4">
        <w:rPr>
          <w:color w:val="000000" w:themeColor="text1"/>
        </w:rPr>
        <w:t>标准</w:t>
      </w:r>
      <w:r w:rsidRPr="00EB1DE4">
        <w:rPr>
          <w:rFonts w:hint="eastAsia"/>
          <w:color w:val="000000" w:themeColor="text1"/>
        </w:rPr>
        <w:t>单光子探测器</w:t>
      </w:r>
      <w:r w:rsidRPr="00EB1DE4">
        <w:rPr>
          <w:color w:val="000000" w:themeColor="text1"/>
        </w:rPr>
        <w:t>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4</m:t>
            </m:r>
          </m:sub>
        </m:sSub>
      </m:oMath>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 xml:space="preserve">C.1.2 </w:t>
      </w:r>
      <w:r w:rsidRPr="00EB1DE4">
        <w:rPr>
          <w:color w:val="000000" w:themeColor="text1"/>
        </w:rPr>
        <w:t>不确定度评定</w:t>
      </w:r>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C.1.2.1</w:t>
      </w:r>
      <w:r w:rsidRPr="00EB1DE4">
        <w:rPr>
          <w:rFonts w:hint="eastAsia"/>
          <w:color w:val="000000" w:themeColor="text1"/>
        </w:rPr>
        <w:t>被校</w:t>
      </w:r>
      <w:r w:rsidRPr="00EB1DE4">
        <w:rPr>
          <w:color w:val="000000" w:themeColor="text1"/>
        </w:rPr>
        <w:t>单光子探测器线性度引入的不确定度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1</m:t>
            </m:r>
          </m:sub>
        </m:sSub>
      </m:oMath>
      <w:r w:rsidRPr="00EB1DE4">
        <w:rPr>
          <w:color w:val="000000" w:themeColor="text1"/>
        </w:rPr>
        <w:t>，由仪表技术指标可知，单光子探测器的线性度不同量程取不同的值，在</w:t>
      </w:r>
      <w:r w:rsidRPr="00EB1DE4">
        <w:rPr>
          <w:rFonts w:hint="eastAsia"/>
          <w:color w:val="000000" w:themeColor="text1"/>
        </w:rPr>
        <w:t>0.1M</w:t>
      </w:r>
      <w:r w:rsidRPr="00EB1DE4">
        <w:rPr>
          <w:rFonts w:hint="eastAsia"/>
          <w:color w:val="000000" w:themeColor="text1"/>
        </w:rPr>
        <w:t>光子水平</w:t>
      </w:r>
      <w:r w:rsidRPr="00EB1DE4">
        <w:rPr>
          <w:color w:val="000000" w:themeColor="text1"/>
        </w:rPr>
        <w:t>下</w:t>
      </w:r>
      <w:r w:rsidRPr="00EB1DE4">
        <w:rPr>
          <w:rFonts w:hint="eastAsia"/>
          <w:color w:val="000000" w:themeColor="text1"/>
        </w:rPr>
        <w:t>被校</w:t>
      </w:r>
      <w:r w:rsidRPr="00EB1DE4">
        <w:rPr>
          <w:color w:val="000000" w:themeColor="text1"/>
        </w:rPr>
        <w:t>单光子探测器的线性度引入的不确定度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1</m:t>
            </m:r>
          </m:sub>
        </m:sSub>
        <m:r>
          <w:rPr>
            <w:rFonts w:ascii="Cambria Math" w:hAnsi="Cambria Math"/>
            <w:color w:val="000000" w:themeColor="text1"/>
          </w:rPr>
          <m:t>=0.09%</m:t>
        </m:r>
      </m:oMath>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 xml:space="preserve">C.1.2.2 </w:t>
      </w:r>
      <w:r w:rsidRPr="00EB1DE4">
        <w:rPr>
          <w:rFonts w:hint="eastAsia"/>
          <w:color w:val="000000" w:themeColor="text1"/>
        </w:rPr>
        <w:t>被校</w:t>
      </w:r>
      <w:r w:rsidRPr="00EB1DE4">
        <w:rPr>
          <w:color w:val="000000" w:themeColor="text1"/>
        </w:rPr>
        <w:t>单光子探测器探测表面不均匀性引入的不确定度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2</m:t>
            </m:r>
          </m:sub>
        </m:sSub>
      </m:oMath>
      <w:r w:rsidRPr="00EB1DE4">
        <w:rPr>
          <w:color w:val="000000" w:themeColor="text1"/>
        </w:rPr>
        <w:t>，经对单光子探测器定标点附近</w:t>
      </w:r>
      <w:r w:rsidRPr="00EB1DE4">
        <w:rPr>
          <w:color w:val="000000" w:themeColor="text1"/>
        </w:rPr>
        <w:t>10μm</w:t>
      </w:r>
      <w:r w:rsidRPr="00EB1DE4">
        <w:rPr>
          <w:color w:val="000000" w:themeColor="text1"/>
        </w:rPr>
        <w:t>范围内的均匀性测量，得到</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2</m:t>
            </m:r>
          </m:sub>
        </m:sSub>
        <m:r>
          <w:rPr>
            <w:rFonts w:ascii="Cambria Math" w:hAnsi="Cambria Math"/>
            <w:color w:val="000000" w:themeColor="text1"/>
          </w:rPr>
          <m:t>=0.22%</m:t>
        </m:r>
      </m:oMath>
      <w:r w:rsidRPr="00EB1DE4">
        <w:rPr>
          <w:color w:val="000000" w:themeColor="text1"/>
        </w:rPr>
        <w:t>。</w:t>
      </w:r>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 xml:space="preserve">C.1.2.3 </w:t>
      </w:r>
      <w:r w:rsidRPr="00EB1DE4">
        <w:rPr>
          <w:color w:val="000000" w:themeColor="text1"/>
        </w:rPr>
        <w:t>测量重复性引入的不确定度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3</m:t>
            </m:r>
          </m:sub>
        </m:sSub>
      </m:oMath>
      <w:r w:rsidRPr="00EB1DE4">
        <w:rPr>
          <w:rFonts w:hint="eastAsia"/>
          <w:color w:val="000000" w:themeColor="text1"/>
        </w:rPr>
        <w:t>与</w:t>
      </w:r>
      <w:r w:rsidRPr="00EB1DE4">
        <w:rPr>
          <w:i/>
          <w:color w:val="000000" w:themeColor="text1"/>
        </w:rPr>
        <w:t>n</w:t>
      </w:r>
      <w:r w:rsidRPr="00EB1DE4">
        <w:rPr>
          <w:color w:val="000000" w:themeColor="text1"/>
        </w:rPr>
        <w:t>次测量</w:t>
      </w:r>
      <w:r w:rsidRPr="00EB1DE4">
        <w:rPr>
          <w:rFonts w:hint="eastAsia"/>
          <w:color w:val="000000" w:themeColor="text1"/>
        </w:rPr>
        <w:t>结果有关，即</w:t>
      </w:r>
    </w:p>
    <w:p w:rsidR="008E7E0F" w:rsidRPr="00EB1DE4" w:rsidRDefault="008E7E0F" w:rsidP="008E7E0F">
      <w:pPr>
        <w:spacing w:beforeLines="50" w:before="156" w:afterLines="50" w:after="156" w:line="360" w:lineRule="auto"/>
        <w:rPr>
          <w:i/>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u</m:t>
              </m:r>
            </m:e>
            <m:sub>
              <m:r>
                <w:rPr>
                  <w:rFonts w:ascii="Cambria Math" w:hAnsi="Cambria Math"/>
                  <w:color w:val="000000" w:themeColor="text1"/>
                </w:rPr>
                <m:t>3</m:t>
              </m:r>
            </m:sub>
          </m:sSub>
          <m:r>
            <w:rPr>
              <w:rFonts w:ascii="Cambria Math" w:hAnsi="Cambria Math"/>
              <w:color w:val="000000" w:themeColor="text1"/>
            </w:rPr>
            <m:t>=</m:t>
          </m:r>
          <m:sSup>
            <m:sSupPr>
              <m:ctrlPr>
                <w:rPr>
                  <w:rFonts w:ascii="Cambria Math" w:hAnsi="Cambria Math"/>
                  <w:i/>
                  <w:color w:val="000000" w:themeColor="text1"/>
                </w:rPr>
              </m:ctrlPr>
            </m:sSupPr>
            <m:e>
              <m:d>
                <m:dPr>
                  <m:begChr m:val="["/>
                  <m:endChr m:val="]"/>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(n-1)×n</m:t>
                      </m:r>
                    </m:den>
                  </m:f>
                  <m:nary>
                    <m:naryPr>
                      <m:chr m:val="∑"/>
                      <m:limLoc m:val="undOvr"/>
                      <m:ctrlPr>
                        <w:rPr>
                          <w:rFonts w:ascii="Cambria Math" w:hAnsi="Cambria Math"/>
                          <w:i/>
                          <w:color w:val="000000" w:themeColor="text1"/>
                        </w:rPr>
                      </m:ctrlPr>
                    </m:naryPr>
                    <m:sub>
                      <m:r>
                        <w:rPr>
                          <w:rFonts w:ascii="Cambria Math" w:hAnsi="Cambria Math"/>
                          <w:color w:val="000000" w:themeColor="text1"/>
                        </w:rPr>
                        <m:t>j=1</m:t>
                      </m:r>
                    </m:sub>
                    <m:sup>
                      <m:r>
                        <w:rPr>
                          <w:rFonts w:ascii="Cambria Math" w:hAnsi="Cambria Math"/>
                          <w:color w:val="000000" w:themeColor="text1"/>
                        </w:rPr>
                        <m:t>n</m:t>
                      </m:r>
                    </m:sup>
                    <m:e>
                      <m:sSup>
                        <m:sSupPr>
                          <m:ctrlPr>
                            <w:rPr>
                              <w:rFonts w:ascii="Cambria Math" w:hAnsi="Cambria Math"/>
                              <w:i/>
                              <w:color w:val="000000" w:themeColor="text1"/>
                            </w:rPr>
                          </m:ctrlPr>
                        </m:sSupPr>
                        <m:e>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j</m:t>
                              </m:r>
                            </m:sub>
                          </m:sSub>
                          <m:r>
                            <w:rPr>
                              <w:rFonts w:ascii="Cambria Math" w:hAnsi="Cambria Math"/>
                              <w:color w:val="000000" w:themeColor="text1"/>
                            </w:rPr>
                            <m:t>-</m:t>
                          </m:r>
                          <m:acc>
                            <m:accPr>
                              <m:chr m:val="̅"/>
                              <m:ctrlPr>
                                <w:rPr>
                                  <w:rFonts w:ascii="Cambria Math" w:hAnsi="Cambria Math"/>
                                  <w:i/>
                                  <w:color w:val="000000" w:themeColor="text1"/>
                                </w:rPr>
                              </m:ctrlPr>
                            </m:accPr>
                            <m:e>
                              <m:r>
                                <w:rPr>
                                  <w:rFonts w:ascii="Cambria Math" w:hAnsi="Cambria Math"/>
                                  <w:color w:val="000000" w:themeColor="text1"/>
                                </w:rPr>
                                <m:t>P</m:t>
                              </m:r>
                            </m:e>
                          </m:acc>
                          <m:r>
                            <w:rPr>
                              <w:rFonts w:ascii="Cambria Math" w:hAnsi="Cambria Math"/>
                              <w:color w:val="000000" w:themeColor="text1"/>
                            </w:rPr>
                            <m:t>)</m:t>
                          </m:r>
                        </m:e>
                        <m:sup>
                          <m:r>
                            <w:rPr>
                              <w:rFonts w:ascii="Cambria Math" w:hAnsi="Cambria Math"/>
                              <w:color w:val="000000" w:themeColor="text1"/>
                            </w:rPr>
                            <m:t>2</m:t>
                          </m:r>
                        </m:sup>
                      </m:sSup>
                    </m:e>
                  </m:nary>
                </m:e>
              </m:d>
            </m:e>
            <m:sup>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2</m:t>
                  </m:r>
                </m:den>
              </m:f>
            </m:sup>
          </m:sSup>
          <m:r>
            <w:rPr>
              <w:rFonts w:ascii="Cambria Math" w:hAnsi="Cambria Math"/>
              <w:color w:val="000000" w:themeColor="text1"/>
            </w:rPr>
            <m:t>=s(x)</m:t>
          </m:r>
        </m:oMath>
      </m:oMathPara>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其中，</w:t>
      </w:r>
      <m:oMath>
        <m:acc>
          <m:accPr>
            <m:chr m:val="̅"/>
            <m:ctrlPr>
              <w:rPr>
                <w:rFonts w:ascii="Cambria Math" w:hAnsi="Cambria Math"/>
                <w:i/>
                <w:color w:val="000000" w:themeColor="text1"/>
              </w:rPr>
            </m:ctrlPr>
          </m:accPr>
          <m:e>
            <m:r>
              <w:rPr>
                <w:rFonts w:ascii="Cambria Math" w:hAnsi="Cambria Math"/>
                <w:color w:val="000000" w:themeColor="text1"/>
              </w:rPr>
              <m:t>P</m:t>
            </m:r>
          </m:e>
        </m:acc>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n</m:t>
            </m:r>
          </m:den>
        </m:f>
        <m:nary>
          <m:naryPr>
            <m:chr m:val="∑"/>
            <m:limLoc m:val="undOvr"/>
            <m:ctrlPr>
              <w:rPr>
                <w:rFonts w:ascii="Cambria Math" w:hAnsi="Cambria Math"/>
                <w:i/>
                <w:color w:val="000000" w:themeColor="text1"/>
              </w:rPr>
            </m:ctrlPr>
          </m:naryPr>
          <m:sub>
            <m:r>
              <w:rPr>
                <w:rFonts w:ascii="Cambria Math" w:hAnsi="Cambria Math"/>
                <w:color w:val="000000" w:themeColor="text1"/>
              </w:rPr>
              <m:t>j=1</m:t>
            </m:r>
          </m:sub>
          <m:sup>
            <m:r>
              <w:rPr>
                <w:rFonts w:ascii="Cambria Math" w:hAnsi="Cambria Math"/>
                <w:color w:val="000000" w:themeColor="text1"/>
              </w:rPr>
              <m:t>n</m:t>
            </m:r>
          </m:sup>
          <m:e>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j</m:t>
                </m:r>
              </m:sub>
            </m:sSub>
          </m:e>
        </m:nary>
      </m:oMath>
      <w:r w:rsidRPr="00EB1DE4">
        <w:rPr>
          <w:color w:val="000000" w:themeColor="text1"/>
        </w:rPr>
        <w:t>。</w:t>
      </w:r>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在</w:t>
      </w:r>
      <w:r w:rsidRPr="00EB1DE4">
        <w:rPr>
          <w:rFonts w:hint="eastAsia"/>
          <w:color w:val="000000" w:themeColor="text1"/>
        </w:rPr>
        <w:t>0.1M</w:t>
      </w:r>
      <w:r w:rsidRPr="00EB1DE4">
        <w:rPr>
          <w:rFonts w:hint="eastAsia"/>
          <w:color w:val="000000" w:themeColor="text1"/>
        </w:rPr>
        <w:t>光子水平</w:t>
      </w:r>
      <w:r w:rsidRPr="00EB1DE4">
        <w:rPr>
          <w:color w:val="000000" w:themeColor="text1"/>
        </w:rPr>
        <w:t>下测量</w:t>
      </w:r>
      <w:r w:rsidRPr="00EB1DE4">
        <w:rPr>
          <w:color w:val="000000" w:themeColor="text1"/>
        </w:rPr>
        <w:t>5</w:t>
      </w:r>
      <w:r w:rsidRPr="00EB1DE4">
        <w:rPr>
          <w:color w:val="000000" w:themeColor="text1"/>
        </w:rPr>
        <w:t>次，量子效率分别为：</w:t>
      </w:r>
      <w:r w:rsidRPr="00EB1DE4">
        <w:rPr>
          <w:color w:val="000000" w:themeColor="text1"/>
        </w:rPr>
        <w:t>0.52</w:t>
      </w:r>
      <w:r w:rsidRPr="00EB1DE4">
        <w:rPr>
          <w:rFonts w:hint="eastAsia"/>
          <w:color w:val="000000" w:themeColor="text1"/>
        </w:rPr>
        <w:t>53</w:t>
      </w:r>
      <w:r w:rsidRPr="00EB1DE4">
        <w:rPr>
          <w:color w:val="000000" w:themeColor="text1"/>
        </w:rPr>
        <w:t>、</w:t>
      </w:r>
      <w:r w:rsidRPr="00EB1DE4">
        <w:rPr>
          <w:color w:val="000000" w:themeColor="text1"/>
        </w:rPr>
        <w:t>0.52</w:t>
      </w:r>
      <w:r w:rsidRPr="00EB1DE4">
        <w:rPr>
          <w:rFonts w:hint="eastAsia"/>
          <w:color w:val="000000" w:themeColor="text1"/>
        </w:rPr>
        <w:t>56</w:t>
      </w:r>
      <w:r w:rsidRPr="00EB1DE4">
        <w:rPr>
          <w:color w:val="000000" w:themeColor="text1"/>
        </w:rPr>
        <w:t>、</w:t>
      </w:r>
      <w:r w:rsidRPr="00EB1DE4">
        <w:rPr>
          <w:color w:val="000000" w:themeColor="text1"/>
        </w:rPr>
        <w:t>0.52</w:t>
      </w:r>
      <w:r w:rsidRPr="00EB1DE4">
        <w:rPr>
          <w:rFonts w:hint="eastAsia"/>
          <w:color w:val="000000" w:themeColor="text1"/>
        </w:rPr>
        <w:t>52</w:t>
      </w:r>
      <w:r w:rsidRPr="00EB1DE4">
        <w:rPr>
          <w:color w:val="000000" w:themeColor="text1"/>
        </w:rPr>
        <w:t>、</w:t>
      </w:r>
      <w:r w:rsidRPr="00EB1DE4">
        <w:rPr>
          <w:color w:val="000000" w:themeColor="text1"/>
        </w:rPr>
        <w:t>0.52</w:t>
      </w:r>
      <w:r w:rsidRPr="00EB1DE4">
        <w:rPr>
          <w:rFonts w:hint="eastAsia"/>
          <w:color w:val="000000" w:themeColor="text1"/>
        </w:rPr>
        <w:t>57</w:t>
      </w:r>
      <w:r w:rsidRPr="00EB1DE4">
        <w:rPr>
          <w:color w:val="000000" w:themeColor="text1"/>
        </w:rPr>
        <w:t>、</w:t>
      </w:r>
      <w:r w:rsidRPr="00EB1DE4">
        <w:rPr>
          <w:color w:val="000000" w:themeColor="text1"/>
        </w:rPr>
        <w:t>0.52</w:t>
      </w:r>
      <w:r w:rsidRPr="00EB1DE4">
        <w:rPr>
          <w:rFonts w:hint="eastAsia"/>
          <w:color w:val="000000" w:themeColor="text1"/>
        </w:rPr>
        <w:t>54</w:t>
      </w:r>
      <w:r w:rsidRPr="00EB1DE4">
        <w:rPr>
          <w:color w:val="000000" w:themeColor="text1"/>
        </w:rPr>
        <w:t>，代入公式得</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3</m:t>
            </m:r>
          </m:sub>
        </m:sSub>
        <m:r>
          <w:rPr>
            <w:rFonts w:ascii="Cambria Math" w:hAnsi="Cambria Math"/>
            <w:color w:val="000000" w:themeColor="text1"/>
          </w:rPr>
          <m:t>=0.04%</m:t>
        </m:r>
      </m:oMath>
      <w:r w:rsidRPr="00EB1DE4">
        <w:rPr>
          <w:color w:val="000000" w:themeColor="text1"/>
        </w:rPr>
        <w:t>。</w:t>
      </w:r>
    </w:p>
    <w:p w:rsidR="008E7E0F" w:rsidRPr="00EB1DE4" w:rsidRDefault="008E7E0F" w:rsidP="008E7E0F">
      <w:pPr>
        <w:spacing w:beforeLines="50" w:before="156" w:afterLines="50" w:after="156" w:line="360" w:lineRule="auto"/>
        <w:rPr>
          <w:color w:val="000000" w:themeColor="text1"/>
        </w:rPr>
      </w:pPr>
      <w:r w:rsidRPr="00EB1DE4">
        <w:rPr>
          <w:color w:val="000000" w:themeColor="text1"/>
        </w:rPr>
        <w:lastRenderedPageBreak/>
        <w:t xml:space="preserve">C.1.2.4 </w:t>
      </w:r>
      <w:r w:rsidRPr="00EB1DE4">
        <w:rPr>
          <w:color w:val="000000" w:themeColor="text1"/>
        </w:rPr>
        <w:t>标准</w:t>
      </w:r>
      <w:r w:rsidRPr="00EB1DE4">
        <w:rPr>
          <w:rFonts w:hint="eastAsia"/>
          <w:color w:val="000000" w:themeColor="text1"/>
        </w:rPr>
        <w:t>单光子探测器</w:t>
      </w:r>
      <w:r w:rsidRPr="00EB1DE4">
        <w:rPr>
          <w:color w:val="000000" w:themeColor="text1"/>
        </w:rPr>
        <w:t>引入的不确定度</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4</m:t>
            </m:r>
          </m:sub>
        </m:sSub>
      </m:oMath>
      <w:r w:rsidRPr="00EB1DE4">
        <w:rPr>
          <w:color w:val="000000" w:themeColor="text1"/>
        </w:rPr>
        <w:t>，</w:t>
      </w:r>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4</m:t>
            </m:r>
          </m:sub>
        </m:sSub>
        <m:r>
          <w:rPr>
            <w:rFonts w:ascii="Cambria Math" w:hAnsi="Cambria Math"/>
            <w:color w:val="000000" w:themeColor="text1"/>
          </w:rPr>
          <m:t>=0.50%</m:t>
        </m:r>
      </m:oMath>
      <w:r w:rsidRPr="00EB1DE4">
        <w:rPr>
          <w:color w:val="000000" w:themeColor="text1"/>
        </w:rPr>
        <w:t>。</w:t>
      </w:r>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 xml:space="preserve">C1.3 </w:t>
      </w:r>
      <w:r w:rsidRPr="00EB1DE4">
        <w:rPr>
          <w:color w:val="000000" w:themeColor="text1"/>
        </w:rPr>
        <w:t>不确定度合成</w:t>
      </w:r>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C.1.3.</w:t>
      </w:r>
      <w:r w:rsidRPr="00EB1DE4">
        <w:rPr>
          <w:rFonts w:hint="eastAsia"/>
          <w:color w:val="000000" w:themeColor="text1"/>
        </w:rPr>
        <w:t>1</w:t>
      </w:r>
      <w:r w:rsidRPr="00EB1DE4">
        <w:rPr>
          <w:color w:val="000000" w:themeColor="text1"/>
        </w:rPr>
        <w:t xml:space="preserve"> </w:t>
      </w:r>
      <w:r w:rsidRPr="00EB1DE4">
        <w:rPr>
          <w:color w:val="000000" w:themeColor="text1"/>
        </w:rPr>
        <w:t>合成标准不确定度</w:t>
      </w:r>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根据相应的数学模型合成公式</w:t>
      </w:r>
    </w:p>
    <w:p w:rsidR="008E7E0F" w:rsidRPr="00EB1DE4" w:rsidRDefault="008E7E0F" w:rsidP="008E7E0F">
      <w:pPr>
        <w:spacing w:beforeLines="50" w:before="156" w:afterLines="50" w:after="156" w:line="360" w:lineRule="auto"/>
        <w:jc w:val="center"/>
        <w:rPr>
          <w:color w:val="000000" w:themeColor="text1"/>
        </w:rPr>
      </w:pPr>
      <m:oMathPara>
        <m:oMath>
          <m:sSub>
            <m:sSubPr>
              <m:ctrlPr>
                <w:rPr>
                  <w:rFonts w:ascii="Cambria Math" w:hAnsi="Cambria Math"/>
                  <w:color w:val="000000" w:themeColor="text1"/>
                </w:rPr>
              </m:ctrlPr>
            </m:sSubPr>
            <m:e>
              <m:r>
                <w:rPr>
                  <w:rFonts w:ascii="Cambria Math" w:hAnsi="Cambria Math"/>
                  <w:color w:val="000000" w:themeColor="text1"/>
                </w:rPr>
                <m:t>u</m:t>
              </m:r>
            </m:e>
            <m:sub>
              <m:r>
                <w:rPr>
                  <w:rFonts w:ascii="Cambria Math" w:hAnsi="Cambria Math"/>
                  <w:color w:val="000000" w:themeColor="text1"/>
                </w:rPr>
                <m:t>c</m:t>
              </m:r>
            </m:sub>
          </m:sSub>
          <m:r>
            <w:rPr>
              <w:rFonts w:ascii="Cambria Math" w:hAnsi="Cambria Math"/>
              <w:color w:val="000000" w:themeColor="text1"/>
            </w:rPr>
            <m:t>=</m:t>
          </m:r>
          <m:rad>
            <m:radPr>
              <m:degHide m:val="1"/>
              <m:ctrlPr>
                <w:rPr>
                  <w:rFonts w:ascii="Cambria Math" w:hAnsi="Cambria Math"/>
                  <w:i/>
                  <w:color w:val="000000" w:themeColor="text1"/>
                </w:rPr>
              </m:ctrlPr>
            </m:radPr>
            <m:deg/>
            <m:e>
              <m:sSubSup>
                <m:sSubSupPr>
                  <m:ctrlPr>
                    <w:rPr>
                      <w:rFonts w:ascii="Cambria Math" w:hAnsi="Cambria Math"/>
                      <w:color w:val="000000" w:themeColor="text1"/>
                    </w:rPr>
                  </m:ctrlPr>
                </m:sSubSupPr>
                <m:e>
                  <m:r>
                    <w:rPr>
                      <w:rFonts w:ascii="Cambria Math" w:hAnsi="Cambria Math"/>
                      <w:color w:val="000000" w:themeColor="text1"/>
                    </w:rPr>
                    <m:t>u</m:t>
                  </m:r>
                </m:e>
                <m:sub>
                  <m:r>
                    <w:rPr>
                      <w:rFonts w:ascii="Cambria Math" w:hAnsi="Cambria Math"/>
                      <w:color w:val="000000" w:themeColor="text1"/>
                    </w:rPr>
                    <m:t>1</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u</m:t>
                  </m:r>
                </m:e>
                <m:sub>
                  <m:r>
                    <w:rPr>
                      <w:rFonts w:ascii="Cambria Math" w:hAnsi="Cambria Math"/>
                      <w:color w:val="000000" w:themeColor="text1"/>
                    </w:rPr>
                    <m:t>2</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u</m:t>
                  </m:r>
                </m:e>
                <m:sub>
                  <m:r>
                    <w:rPr>
                      <w:rFonts w:ascii="Cambria Math" w:hAnsi="Cambria Math"/>
                      <w:color w:val="000000" w:themeColor="text1"/>
                    </w:rPr>
                    <m:t>3</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u</m:t>
                  </m:r>
                </m:e>
                <m:sub>
                  <m:r>
                    <w:rPr>
                      <w:rFonts w:ascii="Cambria Math" w:hAnsi="Cambria Math"/>
                      <w:color w:val="000000" w:themeColor="text1"/>
                    </w:rPr>
                    <m:t>4</m:t>
                  </m:r>
                </m:sub>
                <m:sup>
                  <m:r>
                    <w:rPr>
                      <w:rFonts w:ascii="Cambria Math" w:hAnsi="Cambria Math"/>
                      <w:color w:val="000000" w:themeColor="text1"/>
                    </w:rPr>
                    <m:t>2</m:t>
                  </m:r>
                </m:sup>
              </m:sSubSup>
            </m:e>
          </m:rad>
          <m:r>
            <w:rPr>
              <w:rFonts w:ascii="Cambria Math" w:hAnsi="Cambria Math"/>
              <w:color w:val="000000" w:themeColor="text1"/>
            </w:rPr>
            <m:t>=0.56%</m:t>
          </m:r>
        </m:oMath>
      </m:oMathPara>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C.1.3.</w:t>
      </w:r>
      <w:r w:rsidRPr="00EB1DE4">
        <w:rPr>
          <w:rFonts w:hint="eastAsia"/>
          <w:color w:val="000000" w:themeColor="text1"/>
        </w:rPr>
        <w:t>2</w:t>
      </w:r>
      <w:r w:rsidRPr="00EB1DE4">
        <w:rPr>
          <w:color w:val="000000" w:themeColor="text1"/>
        </w:rPr>
        <w:t xml:space="preserve"> </w:t>
      </w:r>
      <w:r w:rsidRPr="00EB1DE4">
        <w:rPr>
          <w:color w:val="000000" w:themeColor="text1"/>
        </w:rPr>
        <w:t>扩展不确定度</w:t>
      </w:r>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取</w:t>
      </w:r>
      <w:r w:rsidRPr="00EB1DE4">
        <w:rPr>
          <w:color w:val="000000" w:themeColor="text1"/>
        </w:rPr>
        <w:t>95%</w:t>
      </w:r>
      <w:r w:rsidRPr="00EB1DE4">
        <w:rPr>
          <w:color w:val="000000" w:themeColor="text1"/>
        </w:rPr>
        <w:t>置信度，</w:t>
      </w:r>
      <w:r w:rsidRPr="00EB1DE4">
        <w:rPr>
          <w:i/>
          <w:color w:val="000000" w:themeColor="text1"/>
        </w:rPr>
        <w:t>k</w:t>
      </w:r>
      <w:r w:rsidRPr="00EB1DE4">
        <w:rPr>
          <w:color w:val="000000" w:themeColor="text1"/>
        </w:rPr>
        <w:t>=2</w:t>
      </w:r>
      <w:r w:rsidRPr="00EB1DE4">
        <w:rPr>
          <w:color w:val="000000" w:themeColor="text1"/>
        </w:rPr>
        <w:t>，则</w:t>
      </w:r>
    </w:p>
    <w:p w:rsidR="008E7E0F" w:rsidRPr="00EB1DE4" w:rsidRDefault="008E7E0F" w:rsidP="008E7E0F">
      <w:pPr>
        <w:spacing w:beforeLines="50" w:before="156" w:afterLines="50" w:after="156" w:line="360" w:lineRule="auto"/>
        <w:jc w:val="center"/>
        <w:rPr>
          <w:color w:val="000000" w:themeColor="text1"/>
        </w:rPr>
      </w:pPr>
      <m:oMathPara>
        <m:oMath>
          <m:r>
            <w:rPr>
              <w:rFonts w:ascii="Cambria Math" w:hAnsi="Cambria Math"/>
              <w:color w:val="000000" w:themeColor="text1"/>
            </w:rPr>
            <m:t>U=1.12%</m:t>
          </m:r>
        </m:oMath>
      </m:oMathPara>
    </w:p>
    <w:p w:rsidR="008E7E0F" w:rsidRPr="00EB1DE4" w:rsidRDefault="008E7E0F" w:rsidP="008E7E0F">
      <w:pPr>
        <w:spacing w:beforeLines="50" w:before="156" w:afterLines="50" w:after="156" w:line="360" w:lineRule="auto"/>
        <w:rPr>
          <w:color w:val="000000" w:themeColor="text1"/>
        </w:rPr>
      </w:pPr>
      <w:r w:rsidRPr="00EB1DE4">
        <w:rPr>
          <w:color w:val="000000" w:themeColor="text1"/>
        </w:rPr>
        <w:t>即</w:t>
      </w:r>
      <w:r w:rsidRPr="00EB1DE4">
        <w:rPr>
          <w:rFonts w:hint="eastAsia"/>
          <w:color w:val="000000" w:themeColor="text1"/>
        </w:rPr>
        <w:t>被校</w:t>
      </w:r>
      <w:r w:rsidRPr="00EB1DE4">
        <w:rPr>
          <w:color w:val="000000" w:themeColor="text1"/>
        </w:rPr>
        <w:t>单光子探测器量子效率不确定度</w:t>
      </w:r>
      <m:oMath>
        <m:r>
          <w:rPr>
            <w:rFonts w:ascii="Cambria Math" w:hAnsi="Cambria Math"/>
            <w:color w:val="000000" w:themeColor="text1"/>
          </w:rPr>
          <m:t>U=1.12%</m:t>
        </m:r>
      </m:oMath>
      <w:r w:rsidRPr="00EB1DE4">
        <w:rPr>
          <w:color w:val="000000" w:themeColor="text1"/>
        </w:rPr>
        <w:t>。</w:t>
      </w:r>
    </w:p>
    <w:p w:rsidR="009038E4" w:rsidRPr="008E7E0F" w:rsidRDefault="009038E4" w:rsidP="00FD556E">
      <w:pPr>
        <w:spacing w:line="360" w:lineRule="auto"/>
        <w:rPr>
          <w:sz w:val="24"/>
          <w:szCs w:val="24"/>
        </w:rPr>
      </w:pPr>
    </w:p>
    <w:sectPr w:rsidR="009038E4" w:rsidRPr="008E7E0F">
      <w:headerReference w:type="default" r:id="rId7"/>
      <w:footerReference w:type="default" r:id="rId8"/>
      <w:pgSz w:w="11906" w:h="16838"/>
      <w:pgMar w:top="1440" w:right="1797" w:bottom="468" w:left="1797" w:header="851" w:footer="1247"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04E76" w:rsidRDefault="00D04E76">
      <w:r>
        <w:separator/>
      </w:r>
    </w:p>
  </w:endnote>
  <w:endnote w:type="continuationSeparator" w:id="0">
    <w:p w:rsidR="00D04E76" w:rsidRDefault="00D04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038E4" w:rsidRDefault="00000000">
    <w:pPr>
      <w:pStyle w:val="a5"/>
      <w:jc w:val="right"/>
    </w:pPr>
    <w:r>
      <w:fldChar w:fldCharType="begin"/>
    </w:r>
    <w:r>
      <w:instrText xml:space="preserve"> PAGE   \* MERGEFORMAT </w:instrText>
    </w:r>
    <w:r>
      <w:fldChar w:fldCharType="separate"/>
    </w:r>
    <w:r>
      <w:rPr>
        <w:lang w:val="zh-CN"/>
      </w:rPr>
      <w:t>4</w:t>
    </w:r>
    <w:r>
      <w:fldChar w:fldCharType="end"/>
    </w:r>
  </w:p>
  <w:p w:rsidR="009038E4" w:rsidRDefault="009038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04E76" w:rsidRDefault="00D04E76">
      <w:r>
        <w:separator/>
      </w:r>
    </w:p>
  </w:footnote>
  <w:footnote w:type="continuationSeparator" w:id="0">
    <w:p w:rsidR="00D04E76" w:rsidRDefault="00D04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038E4" w:rsidRDefault="00000000">
    <w:pPr>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30480</wp:posOffset>
              </wp:positionH>
              <wp:positionV relativeFrom="paragraph">
                <wp:posOffset>0</wp:posOffset>
              </wp:positionV>
              <wp:extent cx="5229225" cy="0"/>
              <wp:effectExtent l="11430" t="9525" r="7620" b="95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9225"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1" o:spid="_x0000_s1026" o:spt="32" type="#_x0000_t32" style="position:absolute;left:0pt;margin-left:2.4pt;margin-top:0pt;height:0pt;width:411.75pt;z-index:251659264;mso-width-relative:page;mso-height-relative:page;" filled="f" stroked="t" coordsize="21600,21600" o:gfxdata="UEsDBAoAAAAAAIdO4kAAAAAAAAAAAAAAAAAEAAAAZHJzL1BLAwQUAAAACACHTuJAJJCxutMAAAAD&#10;AQAADwAAAGRycy9kb3ducmV2LnhtbE2PzW7CMBCE75V4B2uReqmKnfRHIY2DUKUeeiwg9WriJUmJ&#10;11HsEMrTdzmV42hGM98Uq7PrxAmH0HrSkCwUCKTK25ZqDbvtx2MGIkRD1nSeUMMvBliVs7vC5NZP&#10;9IWnTawFl1DIjYYmxj6XMlQNOhMWvkdi7+AHZyLLoZZ2MBOXu06mSr1KZ1rihcb0+N5gddyMTgOG&#10;8SVR66Wrd5+X6eE7vfxM/Vbr+3mi3kBEPMf/MFzxGR1KZtr7kWwQnYZnBo8a+A+bWZo9gdhfpSwL&#10;ecte/gFQSwMEFAAAAAgAh07iQAF7ixO3AQAAZAMAAA4AAABkcnMvZTJvRG9jLnhtbK1TwW7bMAy9&#10;D+g/CLo3TgykWI04RZGivXRbgLYfoEiyLUwSBUqJnb8fpTTput2G5SCEfOSjHp+8upucZQeN0YBv&#10;+WI250x7Ccr4vuVvr4/XXzmLSXglLHjd8qOO/G599WU1hkbXMIBVGhmR+NiMoeVDSqGpqigH7USc&#10;QdCewA7QiUQh9pVCMRK7s1U9n99UI6AKCFLHSNmHE8jXhb/rtEw/ui7qxGzL6W6pnFjOXT6r9Uo0&#10;PYowGPl+DfEPt3DCeBp6oXoQSbA9mr+onJEIEbo0k+Aq6DojddFAahbzP9S8DCLoooWWE8NlTfH/&#10;0crvhy0yo8g7zrxwZNH9PkGZzBZ5PWOIDVVt/BazQDn5l/AM8mdkHjaD8L0uxa/HQL2lo/rUkoMY&#10;aMhu/AaKagTxl11NHbpMSVtgU7HkeLFET4lJSi7r+raul5zJM1aJ5twYMKYnDY7lPy2PCYXph7QB&#10;78l4wEUZIw7PMZEQajw35KkeHo21xX/r2djy2yXNyUgEa1QGS4D9bmORHUR+QeWXt0Jkn8oQ9l6d&#10;8tYTfFZ92t8O1HGLGc55srIQvD+7/FZ+j0vVx8ex/g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k&#10;kLG60wAAAAMBAAAPAAAAAAAAAAEAIAAAACIAAABkcnMvZG93bnJldi54bWxQSwECFAAUAAAACACH&#10;TuJAAXuLE7cBAABkAwAADgAAAAAAAAABACAAAAAiAQAAZHJzL2Uyb0RvYy54bWxQSwUGAAAAAAYA&#10;BgBZAQAASwUAAAAA&#10;">
              <v:fill on="f" focussize="0,0"/>
              <v:stroke color="#000000" joinstyle="round"/>
              <v:imagedata o:title=""/>
              <o:lock v:ext="edit" aspectratio="f"/>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77E"/>
    <w:rsid w:val="000372C2"/>
    <w:rsid w:val="0008682F"/>
    <w:rsid w:val="000A1408"/>
    <w:rsid w:val="000D5C42"/>
    <w:rsid w:val="000E2F66"/>
    <w:rsid w:val="00206959"/>
    <w:rsid w:val="00222F75"/>
    <w:rsid w:val="0023140B"/>
    <w:rsid w:val="00295F74"/>
    <w:rsid w:val="002C2243"/>
    <w:rsid w:val="00360254"/>
    <w:rsid w:val="00376E3A"/>
    <w:rsid w:val="003A29DB"/>
    <w:rsid w:val="003B66BD"/>
    <w:rsid w:val="003F5751"/>
    <w:rsid w:val="00421F0E"/>
    <w:rsid w:val="0047553C"/>
    <w:rsid w:val="00527F34"/>
    <w:rsid w:val="00530204"/>
    <w:rsid w:val="0054625A"/>
    <w:rsid w:val="005566D3"/>
    <w:rsid w:val="005C7A67"/>
    <w:rsid w:val="00603178"/>
    <w:rsid w:val="006813A1"/>
    <w:rsid w:val="00690451"/>
    <w:rsid w:val="006C53B1"/>
    <w:rsid w:val="006C6DFF"/>
    <w:rsid w:val="0073428A"/>
    <w:rsid w:val="007539AD"/>
    <w:rsid w:val="00757464"/>
    <w:rsid w:val="007E3E0E"/>
    <w:rsid w:val="00816E17"/>
    <w:rsid w:val="00873C6D"/>
    <w:rsid w:val="008957AF"/>
    <w:rsid w:val="008B40FB"/>
    <w:rsid w:val="008E7E0F"/>
    <w:rsid w:val="009038E4"/>
    <w:rsid w:val="00922141"/>
    <w:rsid w:val="00937B25"/>
    <w:rsid w:val="009F7327"/>
    <w:rsid w:val="00A06F47"/>
    <w:rsid w:val="00A50E5E"/>
    <w:rsid w:val="00A56069"/>
    <w:rsid w:val="00B10BC8"/>
    <w:rsid w:val="00B83CDA"/>
    <w:rsid w:val="00BA4C9B"/>
    <w:rsid w:val="00BB6A37"/>
    <w:rsid w:val="00BD051D"/>
    <w:rsid w:val="00BD4224"/>
    <w:rsid w:val="00BE6C60"/>
    <w:rsid w:val="00C74679"/>
    <w:rsid w:val="00D04E76"/>
    <w:rsid w:val="00D05B83"/>
    <w:rsid w:val="00D11D30"/>
    <w:rsid w:val="00D246CA"/>
    <w:rsid w:val="00D46FAA"/>
    <w:rsid w:val="00D6777E"/>
    <w:rsid w:val="00DB0C5F"/>
    <w:rsid w:val="00E23CA8"/>
    <w:rsid w:val="00E33FF3"/>
    <w:rsid w:val="00E57286"/>
    <w:rsid w:val="00F00541"/>
    <w:rsid w:val="00F20EA7"/>
    <w:rsid w:val="00F22085"/>
    <w:rsid w:val="00F412F9"/>
    <w:rsid w:val="00F93A3E"/>
    <w:rsid w:val="00FD556E"/>
    <w:rsid w:val="76AD0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F0144C-F81A-754E-B594-37F765CAA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firstLine="720"/>
    </w:pPr>
    <w:rPr>
      <w:sz w:val="32"/>
    </w:rPr>
  </w:style>
  <w:style w:type="paragraph" w:styleId="a5">
    <w:name w:val="footer"/>
    <w:basedOn w:val="a"/>
    <w:link w:val="a6"/>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9">
    <w:name w:val="Table Grid"/>
    <w:basedOn w:val="a1"/>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正文文本缩进 字符"/>
    <w:basedOn w:val="a0"/>
    <w:link w:val="a3"/>
    <w:rPr>
      <w:rFonts w:ascii="Times New Roman" w:eastAsia="宋体" w:hAnsi="Times New Roman" w:cs="Times New Roman"/>
      <w:sz w:val="32"/>
      <w:szCs w:val="20"/>
    </w:rPr>
  </w:style>
  <w:style w:type="paragraph" w:customStyle="1" w:styleId="03GF">
    <w:name w:val="03.GF报告正文"/>
    <w:basedOn w:val="a"/>
    <w:pPr>
      <w:widowControl/>
      <w:spacing w:line="360" w:lineRule="atLeast"/>
      <w:ind w:firstLine="431"/>
    </w:pPr>
    <w:rPr>
      <w:rFonts w:ascii="宋体"/>
      <w:kern w:val="0"/>
      <w:szCs w:val="21"/>
    </w:rPr>
  </w:style>
  <w:style w:type="paragraph" w:customStyle="1" w:styleId="aa">
    <w:name w:val="标准文件_标准正文"/>
    <w:basedOn w:val="a"/>
    <w:next w:val="a"/>
    <w:qFormat/>
    <w:pPr>
      <w:adjustRightInd w:val="0"/>
      <w:snapToGrid w:val="0"/>
      <w:spacing w:line="400" w:lineRule="exact"/>
      <w:ind w:firstLineChars="200" w:firstLine="200"/>
    </w:pPr>
    <w:rPr>
      <w:rFonts w:ascii="Calibri" w:hAnsi="Calibri"/>
      <w:kern w:val="0"/>
      <w:szCs w:val="21"/>
    </w:rPr>
  </w:style>
  <w:style w:type="paragraph" w:customStyle="1" w:styleId="ab">
    <w:name w:val="段"/>
    <w:basedOn w:val="a"/>
    <w:link w:val="Char"/>
    <w:qFormat/>
    <w:pPr>
      <w:widowControl/>
      <w:autoSpaceDE w:val="0"/>
      <w:autoSpaceDN w:val="0"/>
      <w:ind w:firstLineChars="200" w:firstLine="420"/>
    </w:pPr>
    <w:rPr>
      <w:rFonts w:ascii="宋体"/>
      <w:kern w:val="0"/>
      <w:szCs w:val="21"/>
    </w:rPr>
  </w:style>
  <w:style w:type="character" w:customStyle="1" w:styleId="Char">
    <w:name w:val="段 Char"/>
    <w:link w:val="ab"/>
    <w:qFormat/>
    <w:rPr>
      <w:rFonts w:ascii="宋体" w:eastAsia="宋体" w:hAnsi="Times New Roman" w:cs="Times New Roman"/>
      <w:kern w:val="0"/>
      <w:szCs w:val="21"/>
    </w:rPr>
  </w:style>
  <w:style w:type="paragraph" w:customStyle="1" w:styleId="ac">
    <w:name w:val="字母编号列项（一级）"/>
    <w:qFormat/>
    <w:pPr>
      <w:tabs>
        <w:tab w:val="left" w:pos="840"/>
      </w:tabs>
      <w:ind w:left="839" w:hanging="419"/>
      <w:jc w:val="both"/>
    </w:pPr>
    <w:rPr>
      <w:rFonts w:ascii="宋体" w:eastAsia="宋体" w:hAnsi="Times New Roman" w:cs="Times New Roman"/>
      <w:sz w:val="21"/>
    </w:rPr>
  </w:style>
  <w:style w:type="paragraph" w:customStyle="1" w:styleId="ad">
    <w:name w:val="标准文件_段"/>
    <w:qFormat/>
    <w:pPr>
      <w:autoSpaceDE w:val="0"/>
      <w:autoSpaceDN w:val="0"/>
      <w:ind w:firstLineChars="200" w:firstLine="200"/>
      <w:jc w:val="both"/>
    </w:pPr>
    <w:rPr>
      <w:rFonts w:ascii="宋体"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141</Words>
  <Characters>804</Characters>
  <Application>Microsoft Office Word</Application>
  <DocSecurity>0</DocSecurity>
  <Lines>6</Lines>
  <Paragraphs>1</Paragraphs>
  <ScaleCrop>false</ScaleCrop>
  <Company>Microsoft</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想靓 刘</cp:lastModifiedBy>
  <cp:revision>16</cp:revision>
  <dcterms:created xsi:type="dcterms:W3CDTF">2012-11-01T09:05:00Z</dcterms:created>
  <dcterms:modified xsi:type="dcterms:W3CDTF">2024-11-05T17:06:00Z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