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49881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</w:p>
    <w:p w14:paraId="1368489F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</w:p>
    <w:p w14:paraId="1C60EBB8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</w:p>
    <w:p w14:paraId="22BB876A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国家计量技术规范</w:t>
      </w:r>
    </w:p>
    <w:p w14:paraId="598120DD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</w:t>
      </w:r>
      <w:r>
        <w:rPr>
          <w:rFonts w:hint="eastAsia" w:ascii="黑体" w:hAnsi="黑体" w:eastAsia="黑体"/>
          <w:sz w:val="44"/>
          <w:szCs w:val="44"/>
          <w:shd w:val="clear" w:color="auto" w:fill="FFFFFF"/>
        </w:rPr>
        <w:t>动力电池短路测试仪校准规范</w:t>
      </w:r>
      <w:r>
        <w:rPr>
          <w:rFonts w:hint="eastAsia" w:ascii="黑体" w:hAnsi="黑体" w:eastAsia="黑体"/>
          <w:sz w:val="44"/>
          <w:szCs w:val="44"/>
        </w:rPr>
        <w:t>》</w:t>
      </w:r>
    </w:p>
    <w:p w14:paraId="708F9D7C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试 验 报 告</w:t>
      </w:r>
    </w:p>
    <w:p w14:paraId="7FF72A6B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61DA400A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48508C4F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60268691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416D813B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6463C680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458834AC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30F00461">
      <w:pPr>
        <w:adjustRightInd w:val="0"/>
        <w:snapToGrid w:val="0"/>
        <w:spacing w:line="360" w:lineRule="auto"/>
        <w:jc w:val="center"/>
        <w:rPr>
          <w:rFonts w:eastAsia="仿宋_GB2312"/>
          <w:sz w:val="44"/>
          <w:szCs w:val="44"/>
        </w:rPr>
      </w:pPr>
    </w:p>
    <w:p w14:paraId="6C57B73B">
      <w:pPr>
        <w:adjustRightInd w:val="0"/>
        <w:snapToGrid w:val="0"/>
        <w:spacing w:line="360" w:lineRule="auto"/>
        <w:jc w:val="center"/>
        <w:rPr>
          <w:rFonts w:hint="eastAsia" w:eastAsia="仿宋_GB2312"/>
          <w:sz w:val="44"/>
          <w:szCs w:val="44"/>
        </w:rPr>
      </w:pPr>
    </w:p>
    <w:p w14:paraId="3CB77428">
      <w:pPr>
        <w:adjustRightInd w:val="0"/>
        <w:snapToGrid w:val="0"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校准规范编制工作组</w:t>
      </w:r>
    </w:p>
    <w:p w14:paraId="7BC87993">
      <w:pPr>
        <w:adjustRightInd w:val="0"/>
        <w:snapToGrid w:val="0"/>
        <w:spacing w:line="300" w:lineRule="auto"/>
        <w:ind w:left="320" w:leftChars="1" w:hanging="318" w:hangingChars="99"/>
        <w:jc w:val="center"/>
        <w:rPr>
          <w:b/>
          <w:bCs/>
          <w:sz w:val="32"/>
        </w:rPr>
      </w:pPr>
    </w:p>
    <w:p w14:paraId="24ECECC7">
      <w:pPr>
        <w:adjustRightInd w:val="0"/>
        <w:snapToGrid w:val="0"/>
        <w:spacing w:line="300" w:lineRule="auto"/>
        <w:ind w:left="320" w:leftChars="1" w:hanging="318" w:hangingChars="99"/>
        <w:jc w:val="center"/>
        <w:rPr>
          <w:b/>
          <w:bCs/>
          <w:sz w:val="32"/>
        </w:rPr>
      </w:pPr>
    </w:p>
    <w:p w14:paraId="3C2F391A">
      <w:pPr>
        <w:adjustRightInd w:val="0"/>
        <w:snapToGrid w:val="0"/>
        <w:spacing w:line="300" w:lineRule="auto"/>
        <w:ind w:left="320" w:leftChars="1" w:hanging="318" w:hangingChars="99"/>
        <w:jc w:val="center"/>
        <w:rPr>
          <w:b/>
          <w:bCs/>
          <w:sz w:val="32"/>
        </w:rPr>
        <w:sectPr>
          <w:footerReference r:id="rId3" w:type="default"/>
          <w:footerReference r:id="rId4" w:type="even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66220044">
      <w:pPr>
        <w:adjustRightInd w:val="0"/>
        <w:snapToGrid w:val="0"/>
        <w:spacing w:line="360" w:lineRule="auto"/>
        <w:jc w:val="center"/>
        <w:rPr>
          <w:rFonts w:ascii="黑体" w:hAnsi="黑体" w:eastAsia="黑体"/>
          <w:bCs/>
          <w:sz w:val="32"/>
          <w:szCs w:val="44"/>
        </w:rPr>
      </w:pPr>
      <w:r>
        <w:rPr>
          <w:rFonts w:hint="eastAsia" w:ascii="黑体" w:hAnsi="黑体" w:eastAsia="黑体"/>
          <w:bCs/>
          <w:sz w:val="32"/>
          <w:szCs w:val="44"/>
        </w:rPr>
        <w:t>《动力电池短路测试仪校准规范》试验报告</w:t>
      </w:r>
    </w:p>
    <w:p w14:paraId="1F13F4B6">
      <w:pPr>
        <w:adjustRightInd w:val="0"/>
        <w:snapToGrid w:val="0"/>
        <w:spacing w:line="360" w:lineRule="auto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1  试验目的</w:t>
      </w:r>
    </w:p>
    <w:p w14:paraId="4DBCB2A2">
      <w:pPr>
        <w:adjustRightInd w:val="0"/>
        <w:snapToGrid w:val="0"/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选择1台主流厂家生产的动力电池短路测试仪作为样品，开展关键计量特性参数的校准试验，验证标准条款的正确性和可行性。</w:t>
      </w:r>
    </w:p>
    <w:p w14:paraId="5C0067C4">
      <w:pPr>
        <w:adjustRightInd w:val="0"/>
        <w:snapToGrid w:val="0"/>
        <w:spacing w:line="360" w:lineRule="auto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2  试验基本情况</w:t>
      </w:r>
    </w:p>
    <w:p w14:paraId="761E0DF7">
      <w:pPr>
        <w:adjustRightInd w:val="0"/>
        <w:snapToGrid w:val="0"/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2.1</w:t>
      </w: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环境条件</w:t>
      </w:r>
    </w:p>
    <w:p w14:paraId="6A092BDB">
      <w:pPr>
        <w:adjustRightInd w:val="0"/>
        <w:snapToGrid w:val="0"/>
        <w:spacing w:line="360" w:lineRule="auto"/>
        <w:ind w:firstLine="420"/>
        <w:outlineLvl w:val="0"/>
        <w:rPr>
          <w:sz w:val="24"/>
        </w:rPr>
      </w:pPr>
      <w:bookmarkStart w:id="0" w:name="_Toc183541141"/>
      <w:r>
        <w:rPr>
          <w:rFonts w:hint="eastAsia"/>
          <w:sz w:val="24"/>
        </w:rPr>
        <w:t>环境温度：23</w:t>
      </w:r>
      <w:r>
        <w:rPr>
          <w:rFonts w:ascii="Times New Roman" w:hAnsi="Times New Roman" w:cs="Times New Roman"/>
          <w:sz w:val="24"/>
        </w:rPr>
        <w:t>℃</w:t>
      </w:r>
      <w:r>
        <w:rPr>
          <w:rFonts w:hint="eastAsia"/>
          <w:sz w:val="24"/>
        </w:rPr>
        <w:t>；湿度：57%RH。</w:t>
      </w:r>
      <w:bookmarkEnd w:id="0"/>
    </w:p>
    <w:p w14:paraId="51B5C77A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1" w:name="_Toc183541142"/>
      <w:r>
        <w:rPr>
          <w:rFonts w:hint="eastAsia" w:ascii="黑体" w:hAnsi="黑体" w:eastAsia="黑体"/>
          <w:sz w:val="24"/>
        </w:rPr>
        <w:t>2.2</w:t>
      </w: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测量所用标准装置及辅助试验设备</w:t>
      </w:r>
      <w:bookmarkEnd w:id="1"/>
    </w:p>
    <w:p w14:paraId="05294480">
      <w:pPr>
        <w:adjustRightInd w:val="0"/>
        <w:snapToGrid w:val="0"/>
        <w:spacing w:line="360" w:lineRule="auto"/>
        <w:ind w:firstLine="420"/>
        <w:outlineLvl w:val="0"/>
        <w:rPr>
          <w:sz w:val="24"/>
        </w:rPr>
      </w:pPr>
      <w:bookmarkStart w:id="2" w:name="_Toc183541143"/>
      <w:r>
        <w:rPr>
          <w:rFonts w:hint="eastAsia"/>
          <w:sz w:val="24"/>
        </w:rPr>
        <w:t>标准装置及辅助设备的主要技术参数如表1所示：</w:t>
      </w:r>
      <w:bookmarkEnd w:id="2"/>
    </w:p>
    <w:p w14:paraId="364CAF9F">
      <w:pPr>
        <w:adjustRightInd w:val="0"/>
        <w:snapToGrid w:val="0"/>
        <w:spacing w:line="360" w:lineRule="auto"/>
        <w:jc w:val="center"/>
        <w:outlineLvl w:val="0"/>
        <w:rPr>
          <w:rFonts w:ascii="黑体" w:hAnsi="黑体" w:eastAsia="黑体"/>
          <w:szCs w:val="21"/>
        </w:rPr>
      </w:pPr>
      <w:bookmarkStart w:id="3" w:name="_Toc183541144"/>
      <w:r>
        <w:rPr>
          <w:rFonts w:hint="eastAsia" w:ascii="黑体" w:hAnsi="黑体" w:eastAsia="黑体"/>
          <w:szCs w:val="21"/>
        </w:rPr>
        <w:t>表1 标准装置及辅助设备的主要技术参数</w:t>
      </w:r>
      <w:bookmarkEnd w:id="3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1984"/>
        <w:gridCol w:w="1133"/>
        <w:gridCol w:w="4728"/>
      </w:tblGrid>
      <w:tr w14:paraId="75B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97" w:type="pct"/>
            <w:vAlign w:val="center"/>
          </w:tcPr>
          <w:p w14:paraId="263EE167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" w:name="_Toc183541145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  <w:bookmarkEnd w:id="4"/>
          </w:p>
        </w:tc>
        <w:tc>
          <w:tcPr>
            <w:tcW w:w="1164" w:type="pct"/>
            <w:vAlign w:val="center"/>
          </w:tcPr>
          <w:p w14:paraId="6EB61D72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5" w:name="_Toc183541146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仪器名称</w:t>
            </w:r>
            <w:bookmarkEnd w:id="5"/>
          </w:p>
        </w:tc>
        <w:tc>
          <w:tcPr>
            <w:tcW w:w="665" w:type="pct"/>
            <w:vAlign w:val="center"/>
          </w:tcPr>
          <w:p w14:paraId="74431C55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6" w:name="_Toc183541147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型号</w:t>
            </w:r>
            <w:bookmarkEnd w:id="6"/>
          </w:p>
        </w:tc>
        <w:tc>
          <w:tcPr>
            <w:tcW w:w="2774" w:type="pct"/>
            <w:vAlign w:val="center"/>
          </w:tcPr>
          <w:p w14:paraId="2B28C93A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7" w:name="_Toc183541148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主要技术参数</w:t>
            </w:r>
            <w:bookmarkEnd w:id="7"/>
          </w:p>
        </w:tc>
      </w:tr>
      <w:tr w14:paraId="3B9E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7" w:type="pct"/>
            <w:vAlign w:val="center"/>
          </w:tcPr>
          <w:p w14:paraId="24A3B1AC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8" w:name="_Toc183541149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  <w:bookmarkEnd w:id="8"/>
          </w:p>
        </w:tc>
        <w:tc>
          <w:tcPr>
            <w:tcW w:w="1164" w:type="pct"/>
            <w:vAlign w:val="center"/>
          </w:tcPr>
          <w:p w14:paraId="2CF8803B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9" w:name="_Toc18354115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多功能校准源</w:t>
            </w:r>
            <w:bookmarkEnd w:id="9"/>
          </w:p>
        </w:tc>
        <w:tc>
          <w:tcPr>
            <w:tcW w:w="665" w:type="pct"/>
            <w:vAlign w:val="center"/>
          </w:tcPr>
          <w:p w14:paraId="0B61F4C6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0" w:name="_Toc183541151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3010A</w:t>
            </w:r>
            <w:bookmarkEnd w:id="10"/>
          </w:p>
        </w:tc>
        <w:tc>
          <w:tcPr>
            <w:tcW w:w="2774" w:type="pct"/>
            <w:vAlign w:val="center"/>
          </w:tcPr>
          <w:p w14:paraId="76838FE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1" w:name="_Toc183541152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直流电压输出范围：200 mV～1000 V</w:t>
            </w:r>
            <w:bookmarkEnd w:id="11"/>
          </w:p>
          <w:p w14:paraId="69C0F5F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2" w:name="_Toc183541153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最大允许误差：±0.002%</w:t>
            </w:r>
            <w:bookmarkEnd w:id="12"/>
          </w:p>
        </w:tc>
      </w:tr>
      <w:tr w14:paraId="6CF6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7" w:type="pct"/>
            <w:vAlign w:val="center"/>
          </w:tcPr>
          <w:p w14:paraId="12CBB579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3" w:name="_Toc183541154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</w:t>
            </w:r>
            <w:bookmarkEnd w:id="13"/>
          </w:p>
        </w:tc>
        <w:tc>
          <w:tcPr>
            <w:tcW w:w="1164" w:type="pct"/>
            <w:vAlign w:val="center"/>
          </w:tcPr>
          <w:p w14:paraId="4357A0CC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4" w:name="_Toc183541155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数字多用表</w:t>
            </w:r>
            <w:bookmarkEnd w:id="14"/>
          </w:p>
        </w:tc>
        <w:tc>
          <w:tcPr>
            <w:tcW w:w="665" w:type="pct"/>
            <w:vAlign w:val="center"/>
          </w:tcPr>
          <w:p w14:paraId="6623548D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5" w:name="_Toc183541156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8846A</w:t>
            </w:r>
            <w:bookmarkEnd w:id="15"/>
          </w:p>
        </w:tc>
        <w:tc>
          <w:tcPr>
            <w:tcW w:w="2774" w:type="pct"/>
            <w:vAlign w:val="center"/>
          </w:tcPr>
          <w:p w14:paraId="5377782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6" w:name="_Toc183541157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直流电压测量范围：10 mV～1000 V</w:t>
            </w:r>
            <w:bookmarkEnd w:id="16"/>
          </w:p>
          <w:p w14:paraId="0830D05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7" w:name="_Toc183541158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最大允许误差：±(0.0024%RD+0.0003%FS)</w:t>
            </w:r>
            <w:bookmarkEnd w:id="17"/>
          </w:p>
        </w:tc>
      </w:tr>
      <w:tr w14:paraId="6B8D5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397" w:type="pct"/>
            <w:vAlign w:val="center"/>
          </w:tcPr>
          <w:p w14:paraId="4EF277CB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8" w:name="_Toc183541159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</w:t>
            </w:r>
            <w:bookmarkEnd w:id="18"/>
          </w:p>
        </w:tc>
        <w:tc>
          <w:tcPr>
            <w:tcW w:w="1164" w:type="pct"/>
            <w:vAlign w:val="center"/>
          </w:tcPr>
          <w:p w14:paraId="761734C4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19" w:name="_Toc18354116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可调直流电源</w:t>
            </w:r>
            <w:bookmarkEnd w:id="19"/>
          </w:p>
        </w:tc>
        <w:tc>
          <w:tcPr>
            <w:tcW w:w="665" w:type="pct"/>
            <w:vAlign w:val="center"/>
          </w:tcPr>
          <w:p w14:paraId="2D38BA9D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0" w:name="_Toc183541161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ZLY-1A</w:t>
            </w:r>
            <w:bookmarkEnd w:id="20"/>
          </w:p>
        </w:tc>
        <w:tc>
          <w:tcPr>
            <w:tcW w:w="2774" w:type="pct"/>
            <w:vAlign w:val="center"/>
          </w:tcPr>
          <w:p w14:paraId="2606058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1" w:name="_Toc183541162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直流电流输出范围：（100～600）A</w:t>
            </w:r>
            <w:bookmarkEnd w:id="21"/>
          </w:p>
          <w:p w14:paraId="6D33407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2" w:name="_Toc183541163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稳定度：0.02%/2 min</w:t>
            </w:r>
            <w:bookmarkEnd w:id="22"/>
          </w:p>
        </w:tc>
      </w:tr>
      <w:tr w14:paraId="022B8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97" w:type="pct"/>
            <w:vAlign w:val="center"/>
          </w:tcPr>
          <w:p w14:paraId="5D979AFC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3" w:name="_Toc183541164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</w:t>
            </w:r>
            <w:bookmarkEnd w:id="23"/>
          </w:p>
        </w:tc>
        <w:tc>
          <w:tcPr>
            <w:tcW w:w="1164" w:type="pct"/>
            <w:vAlign w:val="center"/>
          </w:tcPr>
          <w:p w14:paraId="392862AB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4" w:name="_Toc183541165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直流电流比例标准</w:t>
            </w:r>
            <w:bookmarkEnd w:id="24"/>
          </w:p>
        </w:tc>
        <w:tc>
          <w:tcPr>
            <w:tcW w:w="665" w:type="pct"/>
            <w:vAlign w:val="center"/>
          </w:tcPr>
          <w:p w14:paraId="5AE54464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5" w:name="_Toc183541166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ZLB-1</w:t>
            </w:r>
            <w:bookmarkEnd w:id="25"/>
          </w:p>
        </w:tc>
        <w:tc>
          <w:tcPr>
            <w:tcW w:w="2774" w:type="pct"/>
            <w:vAlign w:val="center"/>
          </w:tcPr>
          <w:p w14:paraId="52D0FCB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6" w:name="_Toc183541167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比值：600 A/5 V</w:t>
            </w:r>
            <w:bookmarkEnd w:id="26"/>
          </w:p>
          <w:p w14:paraId="34D2C1C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7" w:name="_Toc183541168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最大允许误差：±0.005%</w:t>
            </w:r>
            <w:bookmarkEnd w:id="27"/>
          </w:p>
        </w:tc>
      </w:tr>
      <w:tr w14:paraId="782C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97" w:type="pct"/>
            <w:vAlign w:val="center"/>
          </w:tcPr>
          <w:p w14:paraId="0539EDE8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8" w:name="_Toc183541169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5</w:t>
            </w:r>
            <w:bookmarkEnd w:id="28"/>
          </w:p>
        </w:tc>
        <w:tc>
          <w:tcPr>
            <w:tcW w:w="1164" w:type="pct"/>
            <w:vAlign w:val="center"/>
          </w:tcPr>
          <w:p w14:paraId="688A37AF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29" w:name="_Toc18354117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直流分流器</w:t>
            </w:r>
            <w:bookmarkEnd w:id="29"/>
          </w:p>
        </w:tc>
        <w:tc>
          <w:tcPr>
            <w:tcW w:w="665" w:type="pct"/>
            <w:vAlign w:val="center"/>
          </w:tcPr>
          <w:p w14:paraId="5BD89B62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0" w:name="_Toc183541171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SH.TW</w:t>
            </w:r>
            <w:bookmarkEnd w:id="30"/>
          </w:p>
        </w:tc>
        <w:tc>
          <w:tcPr>
            <w:tcW w:w="2774" w:type="pct"/>
            <w:vAlign w:val="center"/>
          </w:tcPr>
          <w:p w14:paraId="2DCA746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1" w:name="_Toc183541172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比值：1000 A/100 mV</w:t>
            </w:r>
            <w:bookmarkEnd w:id="31"/>
          </w:p>
          <w:p w14:paraId="5916180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2" w:name="_Toc183541173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最大允许误差：±0.5%</w:t>
            </w:r>
            <w:bookmarkEnd w:id="32"/>
          </w:p>
        </w:tc>
      </w:tr>
      <w:tr w14:paraId="40E6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397" w:type="pct"/>
            <w:vAlign w:val="center"/>
          </w:tcPr>
          <w:p w14:paraId="41251336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3" w:name="_Toc183541174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6</w:t>
            </w:r>
            <w:bookmarkEnd w:id="33"/>
          </w:p>
        </w:tc>
        <w:tc>
          <w:tcPr>
            <w:tcW w:w="1164" w:type="pct"/>
            <w:vAlign w:val="center"/>
          </w:tcPr>
          <w:p w14:paraId="20ED14DA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4" w:name="_Toc183541175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录波仪</w:t>
            </w:r>
            <w:bookmarkEnd w:id="34"/>
          </w:p>
        </w:tc>
        <w:tc>
          <w:tcPr>
            <w:tcW w:w="665" w:type="pct"/>
            <w:vAlign w:val="center"/>
          </w:tcPr>
          <w:p w14:paraId="578080C6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5" w:name="_Toc183541176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DL850EV</w:t>
            </w:r>
            <w:bookmarkEnd w:id="35"/>
          </w:p>
        </w:tc>
        <w:tc>
          <w:tcPr>
            <w:tcW w:w="2774" w:type="pct"/>
            <w:vAlign w:val="center"/>
          </w:tcPr>
          <w:p w14:paraId="6BA1CC0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6" w:name="_Toc183541177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测量范围：5m V/div～20 V/div，1 μs/div～10 s/div</w:t>
            </w:r>
            <w:bookmarkEnd w:id="36"/>
          </w:p>
          <w:p w14:paraId="6BA1AB3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7" w:name="_Toc183541178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最大允许误差：电压±0.5%，时间±0.05%</w:t>
            </w:r>
            <w:bookmarkEnd w:id="37"/>
          </w:p>
        </w:tc>
      </w:tr>
      <w:tr w14:paraId="1790C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397" w:type="pct"/>
            <w:vAlign w:val="center"/>
          </w:tcPr>
          <w:p w14:paraId="28432814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8" w:name="_Toc183541179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7</w:t>
            </w:r>
            <w:bookmarkEnd w:id="38"/>
          </w:p>
        </w:tc>
        <w:tc>
          <w:tcPr>
            <w:tcW w:w="1164" w:type="pct"/>
            <w:vAlign w:val="center"/>
          </w:tcPr>
          <w:p w14:paraId="2794B841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39" w:name="_Toc183541180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回路电阻测试仪</w:t>
            </w:r>
            <w:bookmarkEnd w:id="39"/>
          </w:p>
        </w:tc>
        <w:tc>
          <w:tcPr>
            <w:tcW w:w="665" w:type="pct"/>
            <w:vAlign w:val="center"/>
          </w:tcPr>
          <w:p w14:paraId="4D0F7A5A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0" w:name="_Toc183541181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JYL</w:t>
            </w:r>
            <w:bookmarkEnd w:id="40"/>
          </w:p>
        </w:tc>
        <w:tc>
          <w:tcPr>
            <w:tcW w:w="2774" w:type="pct"/>
            <w:vAlign w:val="center"/>
          </w:tcPr>
          <w:p w14:paraId="073FB56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1" w:name="_Toc183541182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测量范围：1 mΩ～100 mΩ</w:t>
            </w:r>
            <w:bookmarkEnd w:id="41"/>
          </w:p>
          <w:p w14:paraId="12E622A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2" w:name="_Toc183541183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最大允许误差：±(0.5%RD＋0.2 μΩ)</w:t>
            </w:r>
            <w:bookmarkEnd w:id="42"/>
          </w:p>
        </w:tc>
      </w:tr>
      <w:tr w14:paraId="1BBF3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397" w:type="pct"/>
            <w:vAlign w:val="center"/>
          </w:tcPr>
          <w:p w14:paraId="39468F31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3" w:name="_Toc183541184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8</w:t>
            </w:r>
            <w:bookmarkEnd w:id="43"/>
          </w:p>
        </w:tc>
        <w:tc>
          <w:tcPr>
            <w:tcW w:w="1164" w:type="pct"/>
            <w:vAlign w:val="center"/>
          </w:tcPr>
          <w:p w14:paraId="28F0B472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4" w:name="_Toc183541185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高温干井炉</w:t>
            </w:r>
            <w:bookmarkEnd w:id="44"/>
          </w:p>
        </w:tc>
        <w:tc>
          <w:tcPr>
            <w:tcW w:w="665" w:type="pct"/>
            <w:vAlign w:val="center"/>
          </w:tcPr>
          <w:p w14:paraId="151D3209"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5" w:name="_Toc183541186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PTC-660B</w:t>
            </w:r>
            <w:bookmarkEnd w:id="45"/>
          </w:p>
        </w:tc>
        <w:tc>
          <w:tcPr>
            <w:tcW w:w="2774" w:type="pct"/>
            <w:vAlign w:val="center"/>
          </w:tcPr>
          <w:p w14:paraId="32C6300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6" w:name="_Toc183541187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测量范围：（33～660）℃</w:t>
            </w:r>
            <w:bookmarkEnd w:id="46"/>
          </w:p>
          <w:p w14:paraId="3FFF7C0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7" w:name="_Toc183541188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最大允许误差：±0.30 ℃（33～420）℃，±0.50 ℃（420～660）℃</w:t>
            </w:r>
            <w:bookmarkEnd w:id="47"/>
          </w:p>
          <w:p w14:paraId="57EF805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48" w:name="_Toc183541189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稳定性：±0.04 ℃</w:t>
            </w:r>
            <w:bookmarkEnd w:id="48"/>
          </w:p>
        </w:tc>
      </w:tr>
    </w:tbl>
    <w:p w14:paraId="6BDF0A4D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49" w:name="_Toc183541190"/>
      <w:r>
        <w:rPr>
          <w:rFonts w:hint="eastAsia" w:ascii="黑体" w:hAnsi="黑体" w:eastAsia="黑体"/>
          <w:sz w:val="24"/>
        </w:rPr>
        <w:t>2.3</w:t>
      </w: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校准选取的样品信息</w:t>
      </w:r>
      <w:bookmarkEnd w:id="49"/>
    </w:p>
    <w:p w14:paraId="7B1D30E2">
      <w:pPr>
        <w:adjustRightInd w:val="0"/>
        <w:snapToGrid w:val="0"/>
        <w:spacing w:line="360" w:lineRule="auto"/>
        <w:ind w:firstLine="420"/>
        <w:outlineLvl w:val="0"/>
        <w:rPr>
          <w:sz w:val="24"/>
        </w:rPr>
      </w:pPr>
      <w:bookmarkStart w:id="50" w:name="_Toc183541191"/>
      <w:r>
        <w:rPr>
          <w:rFonts w:hint="eastAsia"/>
          <w:sz w:val="24"/>
        </w:rPr>
        <w:t>样品信息如下表所示：</w:t>
      </w:r>
      <w:bookmarkEnd w:id="50"/>
    </w:p>
    <w:p w14:paraId="7DF8BF58">
      <w:pPr>
        <w:adjustRightInd w:val="0"/>
        <w:snapToGrid w:val="0"/>
        <w:spacing w:line="360" w:lineRule="auto"/>
        <w:jc w:val="center"/>
        <w:outlineLvl w:val="0"/>
        <w:rPr>
          <w:sz w:val="24"/>
        </w:rPr>
      </w:pPr>
      <w:bookmarkStart w:id="51" w:name="_Toc183541192"/>
      <w:r>
        <w:rPr>
          <w:rFonts w:hint="eastAsia"/>
          <w:sz w:val="24"/>
        </w:rPr>
        <w:t>表2 被校测试仪基本信息</w:t>
      </w:r>
      <w:bookmarkEnd w:id="51"/>
    </w:p>
    <w:tbl>
      <w:tblPr>
        <w:tblStyle w:val="15"/>
        <w:tblW w:w="87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1701"/>
        <w:gridCol w:w="3860"/>
      </w:tblGrid>
      <w:tr w14:paraId="2A7C8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6" w:type="dxa"/>
            <w:vAlign w:val="center"/>
          </w:tcPr>
          <w:p w14:paraId="7F35FAFF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2" w:name="_Toc183541193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型号</w:t>
            </w:r>
            <w:bookmarkEnd w:id="52"/>
          </w:p>
        </w:tc>
        <w:tc>
          <w:tcPr>
            <w:tcW w:w="1701" w:type="dxa"/>
            <w:vAlign w:val="center"/>
          </w:tcPr>
          <w:p w14:paraId="051504D7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3" w:name="_Toc183541194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厂家</w:t>
            </w:r>
            <w:bookmarkEnd w:id="53"/>
          </w:p>
        </w:tc>
        <w:tc>
          <w:tcPr>
            <w:tcW w:w="1701" w:type="dxa"/>
            <w:vAlign w:val="center"/>
          </w:tcPr>
          <w:p w14:paraId="257EAAC1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4" w:name="_Toc183541195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出厂编号</w:t>
            </w:r>
            <w:bookmarkEnd w:id="54"/>
          </w:p>
        </w:tc>
        <w:tc>
          <w:tcPr>
            <w:tcW w:w="3860" w:type="dxa"/>
            <w:vAlign w:val="center"/>
          </w:tcPr>
          <w:p w14:paraId="0DDD55EB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5" w:name="_Toc183541196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样品铭牌</w:t>
            </w:r>
            <w:bookmarkEnd w:id="55"/>
          </w:p>
        </w:tc>
      </w:tr>
      <w:tr w14:paraId="0A44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6" w:type="dxa"/>
            <w:vAlign w:val="center"/>
          </w:tcPr>
          <w:p w14:paraId="5592CD41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6" w:name="_Toc183541197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BE-XL-10000A</w:t>
            </w:r>
            <w:bookmarkEnd w:id="56"/>
          </w:p>
        </w:tc>
        <w:tc>
          <w:tcPr>
            <w:tcW w:w="1701" w:type="dxa"/>
            <w:vAlign w:val="center"/>
          </w:tcPr>
          <w:p w14:paraId="68EEAF5A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7" w:name="_Toc183541198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广东贝尔试验设备有限公司</w:t>
            </w:r>
            <w:bookmarkEnd w:id="57"/>
          </w:p>
        </w:tc>
        <w:tc>
          <w:tcPr>
            <w:tcW w:w="1701" w:type="dxa"/>
            <w:vAlign w:val="center"/>
          </w:tcPr>
          <w:p w14:paraId="03B32ADC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8" w:name="_Toc183541199"/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190568001</w:t>
            </w:r>
            <w:bookmarkEnd w:id="58"/>
          </w:p>
        </w:tc>
        <w:tc>
          <w:tcPr>
            <w:tcW w:w="3860" w:type="dxa"/>
            <w:vAlign w:val="center"/>
          </w:tcPr>
          <w:p w14:paraId="1B914A09">
            <w:pPr>
              <w:adjustRightInd w:val="0"/>
              <w:snapToGrid w:val="0"/>
              <w:jc w:val="center"/>
              <w:outlineLvl w:val="0"/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</w:pPr>
            <w:bookmarkStart w:id="59" w:name="_Toc183541200"/>
            <w:r>
              <w:rPr>
                <w:rFonts w:asciiTheme="minorEastAsia" w:hAnsiTheme="minorEastAsia"/>
                <w:b w:val="0"/>
                <w:bCs w:val="0"/>
                <w:sz w:val="21"/>
                <w:szCs w:val="21"/>
              </w:rPr>
              <w:drawing>
                <wp:inline distT="0" distB="0" distL="114300" distR="114300">
                  <wp:extent cx="2269490" cy="1702435"/>
                  <wp:effectExtent l="0" t="0" r="0" b="0"/>
                  <wp:docPr id="11" name="图片 11" descr="IMG_7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IMG_767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573" cy="170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59"/>
          </w:p>
        </w:tc>
      </w:tr>
    </w:tbl>
    <w:p w14:paraId="66C726D9">
      <w:pPr>
        <w:adjustRightInd w:val="0"/>
        <w:snapToGrid w:val="0"/>
        <w:spacing w:before="156" w:beforeLines="50" w:line="360" w:lineRule="auto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3  校准结果</w:t>
      </w:r>
    </w:p>
    <w:p w14:paraId="5BDDDC62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60" w:name="_Toc183541201"/>
      <w:r>
        <w:rPr>
          <w:rFonts w:hint="eastAsia" w:ascii="黑体" w:hAnsi="黑体" w:eastAsia="黑体"/>
          <w:sz w:val="24"/>
        </w:rPr>
        <w:t>3.1校准前准备</w:t>
      </w:r>
      <w:bookmarkEnd w:id="60"/>
    </w:p>
    <w:p w14:paraId="7D8C22E6">
      <w:pPr>
        <w:numPr>
          <w:ilvl w:val="0"/>
          <w:numId w:val="1"/>
        </w:numPr>
        <w:adjustRightInd w:val="0"/>
        <w:snapToGrid w:val="0"/>
        <w:spacing w:line="360" w:lineRule="auto"/>
        <w:outlineLvl w:val="0"/>
        <w:rPr>
          <w:sz w:val="24"/>
        </w:rPr>
      </w:pPr>
      <w:bookmarkStart w:id="61" w:name="_Toc183541202"/>
      <w:r>
        <w:rPr>
          <w:rFonts w:hint="eastAsia"/>
          <w:sz w:val="24"/>
        </w:rPr>
        <w:t>外观检查情况：</w:t>
      </w:r>
      <w:r>
        <w:rPr>
          <w:rFonts w:hint="eastAsia"/>
          <w:sz w:val="24"/>
          <w:u w:val="single"/>
        </w:rPr>
        <w:t xml:space="preserve">    良好    </w:t>
      </w:r>
      <w:r>
        <w:rPr>
          <w:rFonts w:hint="eastAsia"/>
          <w:sz w:val="24"/>
        </w:rPr>
        <w:t>。</w:t>
      </w:r>
      <w:bookmarkEnd w:id="61"/>
    </w:p>
    <w:p w14:paraId="2574D503">
      <w:pPr>
        <w:numPr>
          <w:ilvl w:val="0"/>
          <w:numId w:val="1"/>
        </w:numPr>
        <w:adjustRightInd w:val="0"/>
        <w:snapToGrid w:val="0"/>
        <w:spacing w:line="360" w:lineRule="auto"/>
        <w:outlineLvl w:val="0"/>
        <w:rPr>
          <w:sz w:val="24"/>
        </w:rPr>
      </w:pPr>
      <w:bookmarkStart w:id="62" w:name="_Toc183541203"/>
      <w:r>
        <w:rPr>
          <w:rFonts w:hint="eastAsia"/>
          <w:sz w:val="24"/>
        </w:rPr>
        <w:t>通电检查情况：</w:t>
      </w:r>
      <w:r>
        <w:rPr>
          <w:rFonts w:hint="eastAsia"/>
          <w:sz w:val="24"/>
          <w:u w:val="single"/>
        </w:rPr>
        <w:t xml:space="preserve">    良好    </w:t>
      </w:r>
      <w:r>
        <w:rPr>
          <w:rFonts w:hint="eastAsia"/>
          <w:sz w:val="24"/>
        </w:rPr>
        <w:t>。</w:t>
      </w:r>
      <w:bookmarkEnd w:id="62"/>
    </w:p>
    <w:p w14:paraId="568049AC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63" w:name="_Toc183541204"/>
      <w:r>
        <w:rPr>
          <w:rFonts w:hint="eastAsia" w:ascii="黑体" w:hAnsi="黑体" w:eastAsia="黑体"/>
          <w:sz w:val="24"/>
        </w:rPr>
        <w:t>3.2校准接线</w:t>
      </w:r>
      <w:bookmarkEnd w:id="63"/>
    </w:p>
    <w:p w14:paraId="4CC49CD3">
      <w:pPr>
        <w:adjustRightInd w:val="0"/>
        <w:snapToGrid w:val="0"/>
        <w:spacing w:line="360" w:lineRule="auto"/>
        <w:ind w:firstLine="420"/>
        <w:outlineLvl w:val="0"/>
        <w:rPr>
          <w:sz w:val="24"/>
        </w:rPr>
      </w:pPr>
      <w:bookmarkStart w:id="64" w:name="_Toc183541205"/>
      <w:r>
        <w:rPr>
          <w:rFonts w:hint="eastAsia"/>
          <w:sz w:val="24"/>
        </w:rPr>
        <w:t>校准接线图及实物图如下：</w:t>
      </w:r>
      <w:bookmarkEnd w:id="64"/>
    </w:p>
    <w:p w14:paraId="331EE9EC">
      <w:pPr>
        <w:adjustRightInd w:val="0"/>
        <w:snapToGrid w:val="0"/>
        <w:spacing w:line="360" w:lineRule="auto"/>
        <w:jc w:val="center"/>
        <w:outlineLvl w:val="0"/>
        <w:rPr>
          <w:sz w:val="24"/>
          <w:shd w:val="clear" w:color="auto" w:fill="FFFFFF"/>
        </w:rPr>
      </w:pPr>
      <w:bookmarkStart w:id="65" w:name="_Toc183541206"/>
      <w:r>
        <w:rPr>
          <w:sz w:val="24"/>
          <w:shd w:val="clear" w:color="auto" w:fill="FFFFFF"/>
        </w:rPr>
        <w:drawing>
          <wp:inline distT="0" distB="0" distL="114300" distR="114300">
            <wp:extent cx="4154805" cy="995680"/>
            <wp:effectExtent l="0" t="0" r="17145" b="13970"/>
            <wp:docPr id="1" name="图片 1" descr="{87100080-b03d-42ae-80ee-b1231199b42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87100080-b03d-42ae-80ee-b1231199b42a}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4805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5"/>
    </w:p>
    <w:p w14:paraId="397B9189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66" w:name="_Toc183541207"/>
      <w:r>
        <w:rPr>
          <w:rFonts w:hint="eastAsia" w:asciiTheme="minorEastAsia" w:hAnsiTheme="minorEastAsia"/>
          <w:szCs w:val="21"/>
          <w:shd w:val="clear" w:color="auto" w:fill="FFFFFF"/>
        </w:rPr>
        <w:t>图1 直流电压标准源法校准接线图</w:t>
      </w:r>
      <w:bookmarkEnd w:id="66"/>
    </w:p>
    <w:p w14:paraId="4C81BEB2">
      <w:pPr>
        <w:adjustRightInd w:val="0"/>
        <w:snapToGrid w:val="0"/>
        <w:spacing w:line="360" w:lineRule="auto"/>
        <w:jc w:val="center"/>
        <w:outlineLvl w:val="0"/>
        <w:rPr>
          <w:sz w:val="24"/>
          <w:shd w:val="clear" w:color="auto" w:fill="FFFFFF"/>
        </w:rPr>
      </w:pPr>
      <w:bookmarkStart w:id="67" w:name="_Toc183541208"/>
      <w:r>
        <w:rPr>
          <w:sz w:val="24"/>
          <w:shd w:val="clear" w:color="auto" w:fill="FFFFFF"/>
        </w:rPr>
        <w:drawing>
          <wp:inline distT="0" distB="0" distL="114300" distR="114300">
            <wp:extent cx="4104640" cy="1499235"/>
            <wp:effectExtent l="0" t="0" r="10160" b="5715"/>
            <wp:docPr id="5" name="图片 2" descr="{c344d1c0-238e-47b3-b19c-b134237df9bf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{c344d1c0-238e-47b3-b19c-b134237df9bf}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4640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7"/>
    </w:p>
    <w:p w14:paraId="177C8DCC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68" w:name="_Toc183541209"/>
      <w:r>
        <w:rPr>
          <w:rFonts w:hint="eastAsia" w:asciiTheme="minorEastAsia" w:hAnsiTheme="minorEastAsia"/>
          <w:szCs w:val="21"/>
          <w:shd w:val="clear" w:color="auto" w:fill="FFFFFF"/>
        </w:rPr>
        <w:t>图2 直流电压标准表法校准接线图</w:t>
      </w:r>
      <w:bookmarkEnd w:id="68"/>
    </w:p>
    <w:p w14:paraId="14FF5380">
      <w:pPr>
        <w:adjustRightInd w:val="0"/>
        <w:snapToGrid w:val="0"/>
        <w:spacing w:line="360" w:lineRule="auto"/>
        <w:jc w:val="center"/>
        <w:outlineLvl w:val="0"/>
        <w:rPr>
          <w:sz w:val="24"/>
          <w:shd w:val="clear" w:color="auto" w:fill="FFFFFF"/>
        </w:rPr>
      </w:pPr>
      <w:bookmarkStart w:id="69" w:name="_Toc183541210"/>
      <w:r>
        <w:rPr>
          <w:sz w:val="24"/>
          <w:shd w:val="clear" w:color="auto" w:fill="FFFFFF"/>
        </w:rPr>
        <w:drawing>
          <wp:inline distT="0" distB="0" distL="114300" distR="114300">
            <wp:extent cx="4935855" cy="1183005"/>
            <wp:effectExtent l="0" t="0" r="0" b="0"/>
            <wp:docPr id="6" name="图片 3" descr="{87100080-b03d-42ae-80ee-b1231199b42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{87100080-b03d-42ae-80ee-b1231199b42a}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9575" cy="118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9"/>
    </w:p>
    <w:p w14:paraId="1BF583EE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70" w:name="_Toc183541211"/>
      <w:r>
        <w:rPr>
          <w:rFonts w:hint="eastAsia" w:asciiTheme="minorEastAsia" w:hAnsiTheme="minorEastAsia"/>
          <w:szCs w:val="21"/>
          <w:shd w:val="clear" w:color="auto" w:fill="FFFFFF"/>
        </w:rPr>
        <w:t>图3 短路电流标准源法校准接线图</w:t>
      </w:r>
      <w:bookmarkEnd w:id="70"/>
    </w:p>
    <w:p w14:paraId="4C90E283">
      <w:pPr>
        <w:adjustRightInd w:val="0"/>
        <w:snapToGrid w:val="0"/>
        <w:spacing w:line="360" w:lineRule="auto"/>
        <w:jc w:val="center"/>
        <w:outlineLvl w:val="0"/>
        <w:rPr>
          <w:sz w:val="24"/>
          <w:shd w:val="clear" w:color="auto" w:fill="FFFFFF"/>
        </w:rPr>
      </w:pPr>
      <w:bookmarkStart w:id="71" w:name="_Toc183541212"/>
      <w:r>
        <w:rPr>
          <w:rFonts w:hint="eastAsia"/>
          <w:sz w:val="24"/>
          <w:shd w:val="clear" w:color="auto" w:fill="FFFFFF"/>
        </w:rPr>
        <w:drawing>
          <wp:inline distT="0" distB="0" distL="114300" distR="114300">
            <wp:extent cx="5476875" cy="1156335"/>
            <wp:effectExtent l="0" t="0" r="0" b="5715"/>
            <wp:docPr id="12" name="图片 12" descr="{814ab806-554f-470e-8285-2f437b67109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{814ab806-554f-470e-8285-2f437b671091}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8480" cy="1160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1"/>
    </w:p>
    <w:p w14:paraId="13A177A2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72" w:name="_Toc183541213"/>
      <w:r>
        <w:rPr>
          <w:rFonts w:hint="eastAsia" w:asciiTheme="minorEastAsia" w:hAnsiTheme="minorEastAsia"/>
          <w:szCs w:val="21"/>
          <w:shd w:val="clear" w:color="auto" w:fill="FFFFFF"/>
        </w:rPr>
        <w:t>图4 短路电流标准表法校准接线图</w:t>
      </w:r>
      <w:bookmarkEnd w:id="72"/>
    </w:p>
    <w:p w14:paraId="490EADE4">
      <w:pPr>
        <w:adjustRightInd w:val="0"/>
        <w:snapToGrid w:val="0"/>
        <w:spacing w:line="360" w:lineRule="auto"/>
        <w:jc w:val="center"/>
        <w:outlineLvl w:val="0"/>
        <w:rPr>
          <w:sz w:val="24"/>
          <w:shd w:val="clear" w:color="auto" w:fill="FFFFFF"/>
        </w:rPr>
      </w:pPr>
      <w:bookmarkStart w:id="73" w:name="_Toc183541214"/>
      <w:r>
        <w:rPr>
          <w:sz w:val="24"/>
          <w:shd w:val="clear" w:color="auto" w:fill="FFFFFF"/>
        </w:rPr>
        <w:drawing>
          <wp:inline distT="0" distB="0" distL="114300" distR="114300">
            <wp:extent cx="5448935" cy="2016760"/>
            <wp:effectExtent l="0" t="0" r="0" b="2540"/>
            <wp:docPr id="3" name="图片 3" descr="{c0c9bdcb-06e4-456b-9f7c-72aedc001ab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{c0c9bdcb-06e4-456b-9f7c-72aedc001ab8}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1745" cy="2036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3"/>
    </w:p>
    <w:p w14:paraId="0FC0AEF9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74" w:name="_Toc183541215"/>
      <w:r>
        <w:rPr>
          <w:rFonts w:hint="eastAsia" w:asciiTheme="minorEastAsia" w:hAnsiTheme="minorEastAsia"/>
          <w:szCs w:val="21"/>
          <w:shd w:val="clear" w:color="auto" w:fill="FFFFFF"/>
        </w:rPr>
        <w:t>图5 线路电阻校准接线图</w:t>
      </w:r>
      <w:bookmarkEnd w:id="74"/>
    </w:p>
    <w:p w14:paraId="7505D95C">
      <w:pPr>
        <w:adjustRightInd w:val="0"/>
        <w:snapToGrid w:val="0"/>
        <w:spacing w:line="360" w:lineRule="auto"/>
        <w:jc w:val="center"/>
        <w:outlineLvl w:val="0"/>
        <w:rPr>
          <w:rFonts w:eastAsia="宋体"/>
          <w:sz w:val="24"/>
        </w:rPr>
      </w:pPr>
      <w:bookmarkStart w:id="75" w:name="_Toc183541216"/>
      <w:r>
        <w:rPr>
          <w:rFonts w:hint="eastAsia" w:eastAsia="宋体"/>
          <w:sz w:val="24"/>
        </w:rPr>
        <w:drawing>
          <wp:inline distT="0" distB="0" distL="114300" distR="114300">
            <wp:extent cx="5445760" cy="2204720"/>
            <wp:effectExtent l="0" t="0" r="2540" b="5080"/>
            <wp:docPr id="4" name="图片 1" descr="{8180e5f1-cd5e-4874-8be1-e9b72410484f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{8180e5f1-cd5e-4874-8be1-e9b72410484f}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96408" cy="222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5"/>
    </w:p>
    <w:p w14:paraId="2C2CD25C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76" w:name="_Toc183541217"/>
      <w:r>
        <w:rPr>
          <w:rFonts w:hint="eastAsia" w:asciiTheme="minorEastAsia" w:hAnsiTheme="minorEastAsia"/>
          <w:szCs w:val="21"/>
          <w:shd w:val="clear" w:color="auto" w:fill="FFFFFF"/>
        </w:rPr>
        <w:t>图6 温度校准接线图</w:t>
      </w:r>
      <w:bookmarkEnd w:id="76"/>
    </w:p>
    <w:p w14:paraId="2B54E59B">
      <w:pPr>
        <w:adjustRightInd w:val="0"/>
        <w:snapToGrid w:val="0"/>
        <w:spacing w:line="360" w:lineRule="auto"/>
        <w:jc w:val="center"/>
        <w:outlineLvl w:val="0"/>
        <w:rPr>
          <w:rFonts w:eastAsia="宋体"/>
          <w:sz w:val="24"/>
        </w:rPr>
      </w:pPr>
      <w:bookmarkStart w:id="77" w:name="_Toc183541218"/>
      <w:r>
        <w:rPr>
          <w:rFonts w:hint="eastAsia" w:eastAsia="宋体"/>
          <w:sz w:val="24"/>
        </w:rPr>
        <w:drawing>
          <wp:inline distT="0" distB="0" distL="114300" distR="114300">
            <wp:extent cx="4282440" cy="4282440"/>
            <wp:effectExtent l="0" t="0" r="3810" b="3810"/>
            <wp:docPr id="7" name="图片 7" descr="接线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接线图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7602" cy="428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7"/>
    </w:p>
    <w:p w14:paraId="78FED866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78" w:name="_Toc183541219"/>
      <w:r>
        <w:rPr>
          <w:rFonts w:hint="eastAsia" w:asciiTheme="minorEastAsia" w:hAnsiTheme="minorEastAsia"/>
          <w:szCs w:val="21"/>
          <w:shd w:val="clear" w:color="auto" w:fill="FFFFFF"/>
        </w:rPr>
        <w:t>图7 实物接线图1</w:t>
      </w:r>
      <w:bookmarkEnd w:id="78"/>
    </w:p>
    <w:p w14:paraId="55F0CADC">
      <w:pPr>
        <w:adjustRightInd w:val="0"/>
        <w:snapToGrid w:val="0"/>
        <w:spacing w:line="360" w:lineRule="auto"/>
        <w:jc w:val="center"/>
        <w:outlineLvl w:val="0"/>
        <w:rPr>
          <w:rFonts w:eastAsia="宋体"/>
          <w:sz w:val="24"/>
        </w:rPr>
      </w:pPr>
      <w:bookmarkStart w:id="79" w:name="_Toc183541220"/>
      <w:r>
        <w:rPr>
          <w:rFonts w:eastAsia="宋体"/>
          <w:sz w:val="24"/>
        </w:rPr>
        <w:drawing>
          <wp:inline distT="0" distB="0" distL="114300" distR="114300">
            <wp:extent cx="4430395" cy="3322320"/>
            <wp:effectExtent l="0" t="0" r="8255" b="0"/>
            <wp:docPr id="8" name="图片 8" descr="IMG_7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77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5045" cy="3326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9"/>
    </w:p>
    <w:p w14:paraId="65CA5DF2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80" w:name="_Toc183541221"/>
      <w:r>
        <w:rPr>
          <w:rFonts w:hint="eastAsia" w:asciiTheme="minorEastAsia" w:hAnsiTheme="minorEastAsia"/>
          <w:szCs w:val="21"/>
          <w:shd w:val="clear" w:color="auto" w:fill="FFFFFF"/>
        </w:rPr>
        <w:t>图8 实物接线图2</w:t>
      </w:r>
      <w:bookmarkEnd w:id="80"/>
    </w:p>
    <w:p w14:paraId="6008E3EB">
      <w:pPr>
        <w:adjustRightInd w:val="0"/>
        <w:snapToGrid w:val="0"/>
        <w:spacing w:line="360" w:lineRule="auto"/>
        <w:jc w:val="center"/>
        <w:outlineLvl w:val="0"/>
        <w:rPr>
          <w:rFonts w:eastAsia="宋体"/>
          <w:sz w:val="24"/>
        </w:rPr>
      </w:pPr>
      <w:bookmarkStart w:id="81" w:name="_Toc183541222"/>
      <w:r>
        <w:rPr>
          <w:rFonts w:eastAsia="宋体"/>
          <w:sz w:val="24"/>
        </w:rPr>
        <w:drawing>
          <wp:inline distT="0" distB="0" distL="114300" distR="114300">
            <wp:extent cx="4630420" cy="4630420"/>
            <wp:effectExtent l="0" t="0" r="0" b="0"/>
            <wp:docPr id="9" name="图片 9" descr="接线图（俯视）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接线图（俯视）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35338" cy="4635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1"/>
    </w:p>
    <w:p w14:paraId="68B61DFB">
      <w:pPr>
        <w:adjustRightInd w:val="0"/>
        <w:snapToGrid w:val="0"/>
        <w:spacing w:before="156" w:beforeLines="50" w:after="156" w:afterLines="50" w:line="360" w:lineRule="auto"/>
        <w:jc w:val="center"/>
        <w:outlineLvl w:val="0"/>
        <w:rPr>
          <w:rFonts w:asciiTheme="minorEastAsia" w:hAnsiTheme="minorEastAsia"/>
          <w:szCs w:val="21"/>
          <w:shd w:val="clear" w:color="auto" w:fill="FFFFFF"/>
        </w:rPr>
      </w:pPr>
      <w:bookmarkStart w:id="82" w:name="_Toc183541223"/>
      <w:r>
        <w:rPr>
          <w:rFonts w:hint="eastAsia" w:asciiTheme="minorEastAsia" w:hAnsiTheme="minorEastAsia"/>
          <w:szCs w:val="21"/>
          <w:shd w:val="clear" w:color="auto" w:fill="FFFFFF"/>
        </w:rPr>
        <w:t>图9 实物接线图3</w:t>
      </w:r>
      <w:bookmarkEnd w:id="82"/>
    </w:p>
    <w:p w14:paraId="258E8B40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83" w:name="_Toc183541224"/>
      <w:r>
        <w:rPr>
          <w:rFonts w:hint="eastAsia" w:ascii="黑体" w:hAnsi="黑体" w:eastAsia="黑体"/>
          <w:sz w:val="24"/>
        </w:rPr>
        <w:t>3.3校准数据</w:t>
      </w:r>
      <w:bookmarkEnd w:id="83"/>
    </w:p>
    <w:p w14:paraId="245B2433">
      <w:pPr>
        <w:adjustRightInd w:val="0"/>
        <w:snapToGrid w:val="0"/>
        <w:spacing w:line="360" w:lineRule="auto"/>
        <w:ind w:firstLine="420"/>
        <w:outlineLvl w:val="0"/>
        <w:rPr>
          <w:rFonts w:eastAsia="宋体"/>
          <w:sz w:val="24"/>
        </w:rPr>
      </w:pPr>
      <w:bookmarkStart w:id="84" w:name="_Toc183541225"/>
      <w:r>
        <w:rPr>
          <w:rFonts w:hint="eastAsia" w:eastAsia="宋体"/>
          <w:sz w:val="24"/>
        </w:rPr>
        <w:t>直流电压示值误差、短路电流示值误差、线路电阻、温度示值误差的校准数据如下：</w:t>
      </w:r>
      <w:bookmarkEnd w:id="84"/>
    </w:p>
    <w:p w14:paraId="47CADE2D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85" w:name="_Toc183541226"/>
      <w:r>
        <w:rPr>
          <w:rFonts w:hint="eastAsia" w:ascii="黑体" w:hAnsi="黑体" w:eastAsia="黑体"/>
          <w:sz w:val="24"/>
        </w:rPr>
        <w:t>3.3.1直流电压示值误差（标准源法）：</w:t>
      </w:r>
      <w:bookmarkEnd w:id="85"/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2"/>
      </w:tblGrid>
      <w:tr w14:paraId="3232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077392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6" w:name="_Toc183541227"/>
            <w:r>
              <w:rPr>
                <w:rFonts w:hint="eastAsia" w:ascii="宋体" w:hAnsi="宋体" w:eastAsia="宋体" w:cs="宋体"/>
                <w:sz w:val="21"/>
                <w:szCs w:val="21"/>
              </w:rPr>
              <w:t>标准示值（V）</w:t>
            </w:r>
            <w:bookmarkEnd w:id="86"/>
          </w:p>
        </w:tc>
        <w:tc>
          <w:tcPr>
            <w:tcW w:w="1666" w:type="pct"/>
            <w:vAlign w:val="center"/>
          </w:tcPr>
          <w:p w14:paraId="117D1F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7" w:name="_Toc183541228"/>
            <w:r>
              <w:rPr>
                <w:rFonts w:hint="eastAsia" w:ascii="宋体" w:hAnsi="宋体" w:eastAsia="宋体" w:cs="宋体"/>
                <w:sz w:val="21"/>
                <w:szCs w:val="21"/>
              </w:rPr>
              <w:t>被校示值（V）</w:t>
            </w:r>
            <w:bookmarkEnd w:id="87"/>
          </w:p>
        </w:tc>
        <w:tc>
          <w:tcPr>
            <w:tcW w:w="1667" w:type="pct"/>
            <w:vAlign w:val="center"/>
          </w:tcPr>
          <w:p w14:paraId="516AB4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8" w:name="_Toc183541229"/>
            <w:r>
              <w:rPr>
                <w:rFonts w:hint="eastAsia" w:ascii="宋体" w:hAnsi="宋体" w:eastAsia="宋体" w:cs="宋体"/>
                <w:sz w:val="21"/>
                <w:szCs w:val="21"/>
              </w:rPr>
              <w:t>误差（V）</w:t>
            </w:r>
            <w:bookmarkEnd w:id="88"/>
          </w:p>
        </w:tc>
      </w:tr>
      <w:tr w14:paraId="4D4C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2C8341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9" w:name="_Toc183541230"/>
            <w:r>
              <w:rPr>
                <w:rFonts w:hint="eastAsia" w:ascii="宋体" w:hAnsi="宋体" w:eastAsia="宋体" w:cs="宋体"/>
                <w:sz w:val="21"/>
                <w:szCs w:val="21"/>
              </w:rPr>
              <w:t>10.000</w:t>
            </w:r>
            <w:bookmarkEnd w:id="89"/>
          </w:p>
        </w:tc>
        <w:tc>
          <w:tcPr>
            <w:tcW w:w="1666" w:type="pct"/>
            <w:vAlign w:val="center"/>
          </w:tcPr>
          <w:p w14:paraId="6A2514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0" w:name="_Toc183541231"/>
            <w:r>
              <w:rPr>
                <w:rFonts w:hint="eastAsia" w:ascii="宋体" w:hAnsi="宋体" w:eastAsia="宋体" w:cs="宋体"/>
                <w:sz w:val="21"/>
                <w:szCs w:val="21"/>
              </w:rPr>
              <w:t>10.5</w:t>
            </w:r>
            <w:bookmarkEnd w:id="90"/>
          </w:p>
        </w:tc>
        <w:tc>
          <w:tcPr>
            <w:tcW w:w="1667" w:type="pct"/>
            <w:vAlign w:val="center"/>
          </w:tcPr>
          <w:p w14:paraId="521F7E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1" w:name="_Toc183541232"/>
            <w:r>
              <w:rPr>
                <w:rFonts w:hint="eastAsia" w:ascii="宋体" w:hAnsi="宋体" w:eastAsia="宋体" w:cs="宋体"/>
                <w:sz w:val="21"/>
                <w:szCs w:val="21"/>
              </w:rPr>
              <w:t>0.5</w:t>
            </w:r>
            <w:bookmarkEnd w:id="91"/>
          </w:p>
        </w:tc>
      </w:tr>
      <w:tr w14:paraId="6EB10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1C000B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2" w:name="_Toc183541233"/>
            <w:r>
              <w:rPr>
                <w:rFonts w:hint="eastAsia" w:ascii="宋体" w:hAnsi="宋体" w:eastAsia="宋体" w:cs="宋体"/>
                <w:sz w:val="21"/>
                <w:szCs w:val="21"/>
              </w:rPr>
              <w:t>20.000</w:t>
            </w:r>
            <w:bookmarkEnd w:id="92"/>
          </w:p>
        </w:tc>
        <w:tc>
          <w:tcPr>
            <w:tcW w:w="1666" w:type="pct"/>
            <w:vAlign w:val="center"/>
          </w:tcPr>
          <w:p w14:paraId="0E008C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3" w:name="_Toc183541234"/>
            <w:r>
              <w:rPr>
                <w:rFonts w:hint="eastAsia" w:ascii="宋体" w:hAnsi="宋体" w:eastAsia="宋体" w:cs="宋体"/>
                <w:sz w:val="21"/>
                <w:szCs w:val="21"/>
              </w:rPr>
              <w:t>20.4</w:t>
            </w:r>
            <w:bookmarkEnd w:id="93"/>
          </w:p>
        </w:tc>
        <w:tc>
          <w:tcPr>
            <w:tcW w:w="1667" w:type="pct"/>
            <w:vAlign w:val="center"/>
          </w:tcPr>
          <w:p w14:paraId="73122F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4" w:name="_Toc183541235"/>
            <w:r>
              <w:rPr>
                <w:rFonts w:hint="eastAsia" w:ascii="宋体" w:hAnsi="宋体" w:eastAsia="宋体" w:cs="宋体"/>
                <w:sz w:val="21"/>
                <w:szCs w:val="21"/>
              </w:rPr>
              <w:t>0.4</w:t>
            </w:r>
            <w:bookmarkEnd w:id="94"/>
          </w:p>
        </w:tc>
      </w:tr>
      <w:tr w14:paraId="1F94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255FC5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5" w:name="_Toc183541236"/>
            <w:r>
              <w:rPr>
                <w:rFonts w:hint="eastAsia" w:ascii="宋体" w:hAnsi="宋体" w:eastAsia="宋体" w:cs="宋体"/>
                <w:sz w:val="21"/>
                <w:szCs w:val="21"/>
              </w:rPr>
              <w:t>50.000</w:t>
            </w:r>
            <w:bookmarkEnd w:id="95"/>
          </w:p>
        </w:tc>
        <w:tc>
          <w:tcPr>
            <w:tcW w:w="1666" w:type="pct"/>
            <w:vAlign w:val="center"/>
          </w:tcPr>
          <w:p w14:paraId="094536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6" w:name="_Toc183541237"/>
            <w:r>
              <w:rPr>
                <w:rFonts w:hint="eastAsia" w:ascii="宋体" w:hAnsi="宋体" w:eastAsia="宋体" w:cs="宋体"/>
                <w:sz w:val="21"/>
                <w:szCs w:val="21"/>
              </w:rPr>
              <w:t>50.4</w:t>
            </w:r>
            <w:bookmarkEnd w:id="96"/>
          </w:p>
        </w:tc>
        <w:tc>
          <w:tcPr>
            <w:tcW w:w="1667" w:type="pct"/>
            <w:vAlign w:val="center"/>
          </w:tcPr>
          <w:p w14:paraId="70037A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7" w:name="_Toc183541238"/>
            <w:r>
              <w:rPr>
                <w:rFonts w:hint="eastAsia" w:ascii="宋体" w:hAnsi="宋体" w:eastAsia="宋体" w:cs="宋体"/>
                <w:sz w:val="21"/>
                <w:szCs w:val="21"/>
              </w:rPr>
              <w:t>0.4</w:t>
            </w:r>
            <w:bookmarkEnd w:id="97"/>
          </w:p>
        </w:tc>
      </w:tr>
      <w:tr w14:paraId="0CEA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717327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8" w:name="_Toc183541239"/>
            <w:r>
              <w:rPr>
                <w:rFonts w:hint="eastAsia" w:ascii="宋体" w:hAnsi="宋体" w:eastAsia="宋体" w:cs="宋体"/>
                <w:sz w:val="21"/>
                <w:szCs w:val="21"/>
              </w:rPr>
              <w:t>100.000</w:t>
            </w:r>
            <w:bookmarkEnd w:id="98"/>
          </w:p>
        </w:tc>
        <w:tc>
          <w:tcPr>
            <w:tcW w:w="1666" w:type="pct"/>
            <w:vAlign w:val="center"/>
          </w:tcPr>
          <w:p w14:paraId="29B14D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9" w:name="_Toc183541240"/>
            <w:r>
              <w:rPr>
                <w:rFonts w:hint="eastAsia" w:ascii="宋体" w:hAnsi="宋体" w:eastAsia="宋体" w:cs="宋体"/>
                <w:sz w:val="21"/>
                <w:szCs w:val="21"/>
              </w:rPr>
              <w:t>100.4</w:t>
            </w:r>
            <w:bookmarkEnd w:id="99"/>
          </w:p>
        </w:tc>
        <w:tc>
          <w:tcPr>
            <w:tcW w:w="1667" w:type="pct"/>
            <w:vAlign w:val="center"/>
          </w:tcPr>
          <w:p w14:paraId="30303B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0" w:name="_Toc183541241"/>
            <w:r>
              <w:rPr>
                <w:rFonts w:hint="eastAsia" w:ascii="宋体" w:hAnsi="宋体" w:eastAsia="宋体" w:cs="宋体"/>
                <w:sz w:val="21"/>
                <w:szCs w:val="21"/>
              </w:rPr>
              <w:t>0.4</w:t>
            </w:r>
            <w:bookmarkEnd w:id="100"/>
          </w:p>
        </w:tc>
      </w:tr>
      <w:tr w14:paraId="6EF7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14354E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1" w:name="_Toc183541242"/>
            <w:r>
              <w:rPr>
                <w:rFonts w:hint="eastAsia" w:ascii="宋体" w:hAnsi="宋体" w:eastAsia="宋体" w:cs="宋体"/>
                <w:sz w:val="21"/>
                <w:szCs w:val="21"/>
              </w:rPr>
              <w:t>200.000</w:t>
            </w:r>
            <w:bookmarkEnd w:id="101"/>
          </w:p>
        </w:tc>
        <w:tc>
          <w:tcPr>
            <w:tcW w:w="1666" w:type="pct"/>
            <w:vAlign w:val="center"/>
          </w:tcPr>
          <w:p w14:paraId="1D690E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2" w:name="_Toc183541243"/>
            <w:r>
              <w:rPr>
                <w:rFonts w:hint="eastAsia" w:ascii="宋体" w:hAnsi="宋体" w:eastAsia="宋体" w:cs="宋体"/>
                <w:sz w:val="21"/>
                <w:szCs w:val="21"/>
              </w:rPr>
              <w:t>200.3</w:t>
            </w:r>
            <w:bookmarkEnd w:id="102"/>
          </w:p>
        </w:tc>
        <w:tc>
          <w:tcPr>
            <w:tcW w:w="1667" w:type="pct"/>
            <w:vAlign w:val="center"/>
          </w:tcPr>
          <w:p w14:paraId="4FD79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3" w:name="_Toc183541244"/>
            <w:r>
              <w:rPr>
                <w:rFonts w:hint="eastAsia" w:ascii="宋体" w:hAnsi="宋体" w:eastAsia="宋体" w:cs="宋体"/>
                <w:sz w:val="21"/>
                <w:szCs w:val="21"/>
              </w:rPr>
              <w:t>0.3</w:t>
            </w:r>
            <w:bookmarkEnd w:id="103"/>
          </w:p>
        </w:tc>
      </w:tr>
    </w:tbl>
    <w:p w14:paraId="5F32DA76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</w:p>
    <w:p w14:paraId="7C882539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104" w:name="_Toc183541245"/>
      <w:r>
        <w:rPr>
          <w:rFonts w:hint="eastAsia" w:ascii="黑体" w:hAnsi="黑体" w:eastAsia="黑体"/>
          <w:sz w:val="24"/>
        </w:rPr>
        <w:t>3.3.2直流电压示值误差（标准表法）：</w:t>
      </w:r>
      <w:bookmarkEnd w:id="104"/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2"/>
      </w:tblGrid>
      <w:tr w14:paraId="64BDC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347293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5" w:name="_Toc183541246"/>
            <w:r>
              <w:rPr>
                <w:rFonts w:hint="eastAsia" w:ascii="宋体" w:hAnsi="宋体" w:eastAsia="宋体" w:cs="宋体"/>
                <w:sz w:val="21"/>
                <w:szCs w:val="21"/>
              </w:rPr>
              <w:t>标准示值（V）</w:t>
            </w:r>
            <w:bookmarkEnd w:id="105"/>
          </w:p>
        </w:tc>
        <w:tc>
          <w:tcPr>
            <w:tcW w:w="1666" w:type="pct"/>
            <w:vAlign w:val="center"/>
          </w:tcPr>
          <w:p w14:paraId="499048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6" w:name="_Toc183541247"/>
            <w:r>
              <w:rPr>
                <w:rFonts w:hint="eastAsia" w:ascii="宋体" w:hAnsi="宋体" w:eastAsia="宋体" w:cs="宋体"/>
                <w:sz w:val="21"/>
                <w:szCs w:val="21"/>
              </w:rPr>
              <w:t>被校示值（V）</w:t>
            </w:r>
            <w:bookmarkEnd w:id="106"/>
          </w:p>
        </w:tc>
        <w:tc>
          <w:tcPr>
            <w:tcW w:w="1667" w:type="pct"/>
            <w:vAlign w:val="center"/>
          </w:tcPr>
          <w:p w14:paraId="279E26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7" w:name="_Toc183541248"/>
            <w:r>
              <w:rPr>
                <w:rFonts w:hint="eastAsia" w:ascii="宋体" w:hAnsi="宋体" w:eastAsia="宋体" w:cs="宋体"/>
                <w:sz w:val="21"/>
                <w:szCs w:val="21"/>
              </w:rPr>
              <w:t>误差（V）</w:t>
            </w:r>
            <w:bookmarkEnd w:id="107"/>
          </w:p>
        </w:tc>
      </w:tr>
      <w:tr w14:paraId="4A81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2CA536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8" w:name="_Toc183541249"/>
            <w:r>
              <w:rPr>
                <w:rFonts w:hint="eastAsia" w:ascii="宋体" w:hAnsi="宋体" w:eastAsia="宋体" w:cs="宋体"/>
                <w:sz w:val="21"/>
                <w:szCs w:val="21"/>
              </w:rPr>
              <w:t>10.000</w:t>
            </w:r>
            <w:bookmarkEnd w:id="108"/>
          </w:p>
        </w:tc>
        <w:tc>
          <w:tcPr>
            <w:tcW w:w="1666" w:type="pct"/>
            <w:vAlign w:val="center"/>
          </w:tcPr>
          <w:p w14:paraId="571D5F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9" w:name="_Toc183541250"/>
            <w:r>
              <w:rPr>
                <w:rFonts w:hint="eastAsia" w:ascii="宋体" w:hAnsi="宋体" w:eastAsia="宋体" w:cs="宋体"/>
                <w:sz w:val="21"/>
                <w:szCs w:val="21"/>
              </w:rPr>
              <w:t>10.1</w:t>
            </w:r>
            <w:bookmarkEnd w:id="109"/>
          </w:p>
        </w:tc>
        <w:tc>
          <w:tcPr>
            <w:tcW w:w="1667" w:type="pct"/>
            <w:vAlign w:val="center"/>
          </w:tcPr>
          <w:p w14:paraId="43EE92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0" w:name="_Toc183541251"/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  <w:bookmarkEnd w:id="110"/>
          </w:p>
        </w:tc>
      </w:tr>
      <w:tr w14:paraId="3056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69F371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1" w:name="_Toc183541252"/>
            <w:r>
              <w:rPr>
                <w:rFonts w:hint="eastAsia" w:ascii="宋体" w:hAnsi="宋体" w:eastAsia="宋体" w:cs="宋体"/>
                <w:sz w:val="21"/>
                <w:szCs w:val="21"/>
              </w:rPr>
              <w:t>20.000</w:t>
            </w:r>
            <w:bookmarkEnd w:id="111"/>
          </w:p>
        </w:tc>
        <w:tc>
          <w:tcPr>
            <w:tcW w:w="1666" w:type="pct"/>
            <w:vAlign w:val="center"/>
          </w:tcPr>
          <w:p w14:paraId="6FE481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2" w:name="_Toc183541253"/>
            <w:r>
              <w:rPr>
                <w:rFonts w:hint="eastAsia" w:ascii="宋体" w:hAnsi="宋体" w:eastAsia="宋体" w:cs="宋体"/>
                <w:sz w:val="21"/>
                <w:szCs w:val="21"/>
              </w:rPr>
              <w:t>20.1</w:t>
            </w:r>
            <w:bookmarkEnd w:id="112"/>
          </w:p>
        </w:tc>
        <w:tc>
          <w:tcPr>
            <w:tcW w:w="1667" w:type="pct"/>
            <w:vAlign w:val="center"/>
          </w:tcPr>
          <w:p w14:paraId="3F2801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3" w:name="_Toc183541254"/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  <w:bookmarkEnd w:id="113"/>
          </w:p>
        </w:tc>
      </w:tr>
      <w:tr w14:paraId="598C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0917B2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4" w:name="_Toc183541255"/>
            <w:r>
              <w:rPr>
                <w:rFonts w:hint="eastAsia" w:ascii="宋体" w:hAnsi="宋体" w:eastAsia="宋体" w:cs="宋体"/>
                <w:sz w:val="21"/>
                <w:szCs w:val="21"/>
              </w:rPr>
              <w:t>50.000</w:t>
            </w:r>
            <w:bookmarkEnd w:id="114"/>
          </w:p>
        </w:tc>
        <w:tc>
          <w:tcPr>
            <w:tcW w:w="1666" w:type="pct"/>
            <w:vAlign w:val="center"/>
          </w:tcPr>
          <w:p w14:paraId="364744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5" w:name="_Toc183541256"/>
            <w:r>
              <w:rPr>
                <w:rFonts w:hint="eastAsia" w:ascii="宋体" w:hAnsi="宋体" w:eastAsia="宋体" w:cs="宋体"/>
                <w:sz w:val="21"/>
                <w:szCs w:val="21"/>
              </w:rPr>
              <w:t>50.1</w:t>
            </w:r>
            <w:bookmarkEnd w:id="115"/>
          </w:p>
        </w:tc>
        <w:tc>
          <w:tcPr>
            <w:tcW w:w="1667" w:type="pct"/>
            <w:vAlign w:val="center"/>
          </w:tcPr>
          <w:p w14:paraId="1587FC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6" w:name="_Toc183541257"/>
            <w:r>
              <w:rPr>
                <w:rFonts w:hint="eastAsia" w:ascii="宋体" w:hAnsi="宋体" w:eastAsia="宋体" w:cs="宋体"/>
                <w:sz w:val="21"/>
                <w:szCs w:val="21"/>
              </w:rPr>
              <w:t>0.1</w:t>
            </w:r>
            <w:bookmarkEnd w:id="116"/>
          </w:p>
        </w:tc>
      </w:tr>
      <w:tr w14:paraId="5E1D8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57D457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7" w:name="_Toc183541258"/>
            <w:r>
              <w:rPr>
                <w:rFonts w:hint="eastAsia" w:ascii="宋体" w:hAnsi="宋体" w:eastAsia="宋体" w:cs="宋体"/>
                <w:sz w:val="21"/>
                <w:szCs w:val="21"/>
              </w:rPr>
              <w:t>100.000</w:t>
            </w:r>
            <w:bookmarkEnd w:id="117"/>
          </w:p>
        </w:tc>
        <w:tc>
          <w:tcPr>
            <w:tcW w:w="1666" w:type="pct"/>
            <w:vAlign w:val="center"/>
          </w:tcPr>
          <w:p w14:paraId="2BA9BB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8" w:name="_Toc183541259"/>
            <w:r>
              <w:rPr>
                <w:rFonts w:hint="eastAsia" w:ascii="宋体" w:hAnsi="宋体" w:eastAsia="宋体" w:cs="宋体"/>
                <w:sz w:val="21"/>
                <w:szCs w:val="21"/>
              </w:rPr>
              <w:t>100.0</w:t>
            </w:r>
            <w:bookmarkEnd w:id="118"/>
          </w:p>
        </w:tc>
        <w:tc>
          <w:tcPr>
            <w:tcW w:w="1667" w:type="pct"/>
            <w:vAlign w:val="center"/>
          </w:tcPr>
          <w:p w14:paraId="761EBA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19" w:name="_Toc183541260"/>
            <w:r>
              <w:rPr>
                <w:rFonts w:hint="eastAsia" w:ascii="宋体" w:hAnsi="宋体" w:eastAsia="宋体" w:cs="宋体"/>
                <w:sz w:val="21"/>
                <w:szCs w:val="21"/>
              </w:rPr>
              <w:t>0.0</w:t>
            </w:r>
            <w:bookmarkEnd w:id="119"/>
          </w:p>
        </w:tc>
      </w:tr>
      <w:tr w14:paraId="75E48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142CB1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0" w:name="_Toc183541261"/>
            <w:r>
              <w:rPr>
                <w:rFonts w:hint="eastAsia" w:ascii="宋体" w:hAnsi="宋体" w:eastAsia="宋体" w:cs="宋体"/>
                <w:sz w:val="21"/>
                <w:szCs w:val="21"/>
              </w:rPr>
              <w:t>200.000</w:t>
            </w:r>
            <w:bookmarkEnd w:id="120"/>
          </w:p>
        </w:tc>
        <w:tc>
          <w:tcPr>
            <w:tcW w:w="1666" w:type="pct"/>
            <w:vAlign w:val="center"/>
          </w:tcPr>
          <w:p w14:paraId="69DDC4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1" w:name="_Toc183541262"/>
            <w:r>
              <w:rPr>
                <w:rFonts w:hint="eastAsia" w:ascii="宋体" w:hAnsi="宋体" w:eastAsia="宋体" w:cs="宋体"/>
                <w:sz w:val="21"/>
                <w:szCs w:val="21"/>
              </w:rPr>
              <w:t>199.9</w:t>
            </w:r>
            <w:bookmarkEnd w:id="121"/>
          </w:p>
        </w:tc>
        <w:tc>
          <w:tcPr>
            <w:tcW w:w="1667" w:type="pct"/>
            <w:vAlign w:val="center"/>
          </w:tcPr>
          <w:p w14:paraId="6F8FB3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2" w:name="_Toc183541263"/>
            <w:r>
              <w:rPr>
                <w:rFonts w:hint="eastAsia" w:ascii="宋体" w:hAnsi="宋体" w:eastAsia="宋体" w:cs="宋体"/>
                <w:sz w:val="21"/>
                <w:szCs w:val="21"/>
              </w:rPr>
              <w:t>-0.1</w:t>
            </w:r>
            <w:bookmarkEnd w:id="122"/>
          </w:p>
        </w:tc>
      </w:tr>
      <w:tr w14:paraId="15C3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41F001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3" w:name="_Toc183541264"/>
            <w:r>
              <w:rPr>
                <w:rFonts w:hint="eastAsia" w:ascii="宋体" w:hAnsi="宋体" w:eastAsia="宋体" w:cs="宋体"/>
                <w:sz w:val="21"/>
                <w:szCs w:val="21"/>
              </w:rPr>
              <w:t>500.000</w:t>
            </w:r>
            <w:bookmarkEnd w:id="123"/>
          </w:p>
        </w:tc>
        <w:tc>
          <w:tcPr>
            <w:tcW w:w="1666" w:type="pct"/>
            <w:vAlign w:val="center"/>
          </w:tcPr>
          <w:p w14:paraId="46CEF6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4" w:name="_Toc183541265"/>
            <w:r>
              <w:rPr>
                <w:rFonts w:hint="eastAsia" w:ascii="宋体" w:hAnsi="宋体" w:eastAsia="宋体" w:cs="宋体"/>
                <w:sz w:val="21"/>
                <w:szCs w:val="21"/>
              </w:rPr>
              <w:t>499.7</w:t>
            </w:r>
            <w:bookmarkEnd w:id="124"/>
          </w:p>
        </w:tc>
        <w:tc>
          <w:tcPr>
            <w:tcW w:w="1667" w:type="pct"/>
            <w:vAlign w:val="center"/>
          </w:tcPr>
          <w:p w14:paraId="129A94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5" w:name="_Toc183541266"/>
            <w:r>
              <w:rPr>
                <w:rFonts w:hint="eastAsia" w:ascii="宋体" w:hAnsi="宋体" w:eastAsia="宋体" w:cs="宋体"/>
                <w:sz w:val="21"/>
                <w:szCs w:val="21"/>
              </w:rPr>
              <w:t>-0.3</w:t>
            </w:r>
            <w:bookmarkEnd w:id="125"/>
          </w:p>
        </w:tc>
      </w:tr>
      <w:tr w14:paraId="44189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58E028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6" w:name="_Toc183541267"/>
            <w:r>
              <w:rPr>
                <w:rFonts w:hint="eastAsia" w:ascii="宋体" w:hAnsi="宋体" w:eastAsia="宋体" w:cs="宋体"/>
                <w:sz w:val="21"/>
                <w:szCs w:val="21"/>
              </w:rPr>
              <w:t>900.000</w:t>
            </w:r>
            <w:bookmarkEnd w:id="126"/>
          </w:p>
        </w:tc>
        <w:tc>
          <w:tcPr>
            <w:tcW w:w="1666" w:type="pct"/>
            <w:vAlign w:val="center"/>
          </w:tcPr>
          <w:p w14:paraId="651F24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7" w:name="_Toc183541268"/>
            <w:r>
              <w:rPr>
                <w:rFonts w:hint="eastAsia" w:ascii="宋体" w:hAnsi="宋体" w:eastAsia="宋体" w:cs="宋体"/>
                <w:sz w:val="21"/>
                <w:szCs w:val="21"/>
              </w:rPr>
              <w:t>899.6</w:t>
            </w:r>
            <w:bookmarkEnd w:id="127"/>
          </w:p>
        </w:tc>
        <w:tc>
          <w:tcPr>
            <w:tcW w:w="1667" w:type="pct"/>
            <w:vAlign w:val="center"/>
          </w:tcPr>
          <w:p w14:paraId="28F84A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28" w:name="_Toc183541269"/>
            <w:r>
              <w:rPr>
                <w:rFonts w:hint="eastAsia" w:ascii="宋体" w:hAnsi="宋体" w:eastAsia="宋体" w:cs="宋体"/>
                <w:sz w:val="21"/>
                <w:szCs w:val="21"/>
              </w:rPr>
              <w:t>-0.4</w:t>
            </w:r>
            <w:bookmarkEnd w:id="128"/>
          </w:p>
        </w:tc>
      </w:tr>
    </w:tbl>
    <w:p w14:paraId="1A5F0C87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129" w:name="_Toc183541270"/>
      <w:r>
        <w:rPr>
          <w:rFonts w:hint="eastAsia" w:ascii="黑体" w:hAnsi="黑体" w:eastAsia="黑体"/>
          <w:sz w:val="24"/>
        </w:rPr>
        <w:t>3.3.3短路电流示值误差（标准源法）：</w:t>
      </w:r>
      <w:bookmarkEnd w:id="129"/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2"/>
      </w:tblGrid>
      <w:tr w14:paraId="4E06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52E74A7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0" w:name="_Toc183541271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标准示值（A）</w:t>
            </w:r>
            <w:bookmarkEnd w:id="130"/>
          </w:p>
        </w:tc>
        <w:tc>
          <w:tcPr>
            <w:tcW w:w="1666" w:type="pct"/>
            <w:vAlign w:val="center"/>
          </w:tcPr>
          <w:p w14:paraId="589052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1" w:name="_Toc183541272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被校示值（A）</w:t>
            </w:r>
            <w:bookmarkEnd w:id="131"/>
          </w:p>
        </w:tc>
        <w:tc>
          <w:tcPr>
            <w:tcW w:w="1667" w:type="pct"/>
            <w:vAlign w:val="center"/>
          </w:tcPr>
          <w:p w14:paraId="1767B22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2" w:name="_Toc183541273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误差（A）</w:t>
            </w:r>
            <w:bookmarkEnd w:id="132"/>
          </w:p>
        </w:tc>
      </w:tr>
      <w:tr w14:paraId="7593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52D1E9C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3" w:name="_Toc183541274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100.0</w:t>
            </w:r>
            <w:bookmarkEnd w:id="133"/>
          </w:p>
        </w:tc>
        <w:tc>
          <w:tcPr>
            <w:tcW w:w="1666" w:type="pct"/>
            <w:vAlign w:val="center"/>
          </w:tcPr>
          <w:p w14:paraId="0AD49EB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4" w:name="_Toc183541275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99.5</w:t>
            </w:r>
            <w:bookmarkEnd w:id="134"/>
          </w:p>
        </w:tc>
        <w:tc>
          <w:tcPr>
            <w:tcW w:w="1667" w:type="pct"/>
            <w:vAlign w:val="center"/>
          </w:tcPr>
          <w:p w14:paraId="4CB15C0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5" w:name="_Toc183541276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-0.5</w:t>
            </w:r>
            <w:bookmarkEnd w:id="135"/>
          </w:p>
        </w:tc>
      </w:tr>
      <w:tr w14:paraId="3013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6E65DE8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6" w:name="_Toc183541277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200.0</w:t>
            </w:r>
            <w:bookmarkEnd w:id="136"/>
          </w:p>
        </w:tc>
        <w:tc>
          <w:tcPr>
            <w:tcW w:w="1666" w:type="pct"/>
            <w:vAlign w:val="center"/>
          </w:tcPr>
          <w:p w14:paraId="7316CCC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7" w:name="_Toc183541278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199.3</w:t>
            </w:r>
            <w:bookmarkEnd w:id="137"/>
          </w:p>
        </w:tc>
        <w:tc>
          <w:tcPr>
            <w:tcW w:w="1667" w:type="pct"/>
            <w:vAlign w:val="center"/>
          </w:tcPr>
          <w:p w14:paraId="1578D3E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8" w:name="_Toc183541279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-0.7</w:t>
            </w:r>
            <w:bookmarkEnd w:id="138"/>
          </w:p>
        </w:tc>
      </w:tr>
      <w:tr w14:paraId="4A173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73209E4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39" w:name="_Toc18354128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500.0</w:t>
            </w:r>
            <w:bookmarkEnd w:id="139"/>
          </w:p>
        </w:tc>
        <w:tc>
          <w:tcPr>
            <w:tcW w:w="1666" w:type="pct"/>
            <w:vAlign w:val="center"/>
          </w:tcPr>
          <w:p w14:paraId="5F09FCB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40" w:name="_Toc183541281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498.5</w:t>
            </w:r>
            <w:bookmarkEnd w:id="140"/>
          </w:p>
        </w:tc>
        <w:tc>
          <w:tcPr>
            <w:tcW w:w="1667" w:type="pct"/>
            <w:vAlign w:val="center"/>
          </w:tcPr>
          <w:p w14:paraId="18EB550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41" w:name="_Toc183541282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-1.3</w:t>
            </w:r>
            <w:bookmarkEnd w:id="141"/>
          </w:p>
        </w:tc>
      </w:tr>
      <w:tr w14:paraId="34FC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1B5B079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42" w:name="_Toc183541283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600.0</w:t>
            </w:r>
            <w:bookmarkEnd w:id="142"/>
          </w:p>
        </w:tc>
        <w:tc>
          <w:tcPr>
            <w:tcW w:w="1666" w:type="pct"/>
            <w:vAlign w:val="center"/>
          </w:tcPr>
          <w:p w14:paraId="299C30B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43" w:name="_Toc183541284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598.2</w:t>
            </w:r>
            <w:bookmarkEnd w:id="143"/>
          </w:p>
        </w:tc>
        <w:tc>
          <w:tcPr>
            <w:tcW w:w="1667" w:type="pct"/>
            <w:vAlign w:val="center"/>
          </w:tcPr>
          <w:p w14:paraId="2A5376E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144" w:name="_Toc183541285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-1.9</w:t>
            </w:r>
            <w:bookmarkEnd w:id="144"/>
          </w:p>
        </w:tc>
      </w:tr>
    </w:tbl>
    <w:p w14:paraId="12A79D29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145" w:name="_Toc183541286"/>
      <w:r>
        <w:rPr>
          <w:rFonts w:hint="eastAsia" w:ascii="黑体" w:hAnsi="黑体" w:eastAsia="黑体"/>
          <w:sz w:val="24"/>
        </w:rPr>
        <w:t>3.3.4短路电流示值误差（标准表法）：</w:t>
      </w:r>
      <w:bookmarkEnd w:id="145"/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2"/>
      </w:tblGrid>
      <w:tr w14:paraId="19A43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6A3362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46" w:name="_Toc183541287"/>
            <w:r>
              <w:rPr>
                <w:rFonts w:hint="eastAsia" w:ascii="宋体" w:hAnsi="宋体" w:eastAsia="宋体" w:cs="宋体"/>
                <w:sz w:val="21"/>
                <w:szCs w:val="21"/>
              </w:rPr>
              <w:t>标准示值（A）</w:t>
            </w:r>
            <w:bookmarkEnd w:id="146"/>
          </w:p>
        </w:tc>
        <w:tc>
          <w:tcPr>
            <w:tcW w:w="1666" w:type="pct"/>
            <w:vAlign w:val="center"/>
          </w:tcPr>
          <w:p w14:paraId="62567A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47" w:name="_Toc183541288"/>
            <w:r>
              <w:rPr>
                <w:rFonts w:hint="eastAsia" w:ascii="宋体" w:hAnsi="宋体" w:eastAsia="宋体" w:cs="宋体"/>
                <w:sz w:val="21"/>
                <w:szCs w:val="21"/>
              </w:rPr>
              <w:t>被校示值（A）</w:t>
            </w:r>
            <w:bookmarkEnd w:id="147"/>
          </w:p>
        </w:tc>
        <w:tc>
          <w:tcPr>
            <w:tcW w:w="1667" w:type="pct"/>
            <w:vAlign w:val="center"/>
          </w:tcPr>
          <w:p w14:paraId="597E0C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48" w:name="_Toc183541289"/>
            <w:r>
              <w:rPr>
                <w:rFonts w:hint="eastAsia" w:ascii="宋体" w:hAnsi="宋体" w:eastAsia="宋体" w:cs="宋体"/>
                <w:sz w:val="21"/>
                <w:szCs w:val="21"/>
              </w:rPr>
              <w:t>误差（A）</w:t>
            </w:r>
            <w:bookmarkEnd w:id="148"/>
          </w:p>
        </w:tc>
      </w:tr>
      <w:tr w14:paraId="50AC2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5F3AF1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49" w:name="_Toc183541290"/>
            <w:r>
              <w:rPr>
                <w:rFonts w:hint="eastAsia" w:ascii="宋体" w:hAnsi="宋体" w:eastAsia="宋体" w:cs="宋体"/>
                <w:sz w:val="21"/>
                <w:szCs w:val="21"/>
              </w:rPr>
              <w:t>99.53</w:t>
            </w:r>
            <w:bookmarkEnd w:id="149"/>
          </w:p>
        </w:tc>
        <w:tc>
          <w:tcPr>
            <w:tcW w:w="1666" w:type="pct"/>
            <w:vAlign w:val="center"/>
          </w:tcPr>
          <w:p w14:paraId="0F4CC3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0" w:name="_Toc183541291"/>
            <w:r>
              <w:rPr>
                <w:rFonts w:hint="eastAsia" w:ascii="宋体" w:hAnsi="宋体" w:eastAsia="宋体" w:cs="宋体"/>
                <w:sz w:val="21"/>
                <w:szCs w:val="21"/>
              </w:rPr>
              <w:t>98.9</w:t>
            </w:r>
            <w:bookmarkEnd w:id="150"/>
          </w:p>
        </w:tc>
        <w:tc>
          <w:tcPr>
            <w:tcW w:w="1667" w:type="pct"/>
            <w:vAlign w:val="center"/>
          </w:tcPr>
          <w:p w14:paraId="281707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1" w:name="_Toc183541292"/>
            <w:r>
              <w:rPr>
                <w:rFonts w:hint="eastAsia" w:ascii="宋体" w:hAnsi="宋体" w:eastAsia="宋体" w:cs="宋体"/>
                <w:sz w:val="21"/>
                <w:szCs w:val="21"/>
              </w:rPr>
              <w:t>-0.6</w:t>
            </w:r>
            <w:bookmarkEnd w:id="151"/>
          </w:p>
        </w:tc>
      </w:tr>
      <w:tr w14:paraId="35C1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1EB87B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2" w:name="_Toc183541293"/>
            <w:r>
              <w:rPr>
                <w:rFonts w:hint="eastAsia" w:ascii="宋体" w:hAnsi="宋体" w:eastAsia="宋体" w:cs="宋体"/>
                <w:sz w:val="21"/>
                <w:szCs w:val="21"/>
              </w:rPr>
              <w:t>200.06</w:t>
            </w:r>
            <w:bookmarkEnd w:id="152"/>
          </w:p>
        </w:tc>
        <w:tc>
          <w:tcPr>
            <w:tcW w:w="1666" w:type="pct"/>
            <w:vAlign w:val="center"/>
          </w:tcPr>
          <w:p w14:paraId="7CC17A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3" w:name="_Toc183541294"/>
            <w:r>
              <w:rPr>
                <w:rFonts w:hint="eastAsia" w:ascii="宋体" w:hAnsi="宋体" w:eastAsia="宋体" w:cs="宋体"/>
                <w:sz w:val="21"/>
                <w:szCs w:val="21"/>
              </w:rPr>
              <w:t>199.3</w:t>
            </w:r>
            <w:bookmarkEnd w:id="153"/>
          </w:p>
        </w:tc>
        <w:tc>
          <w:tcPr>
            <w:tcW w:w="1667" w:type="pct"/>
            <w:vAlign w:val="center"/>
          </w:tcPr>
          <w:p w14:paraId="70331C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4" w:name="_Toc183541295"/>
            <w:r>
              <w:rPr>
                <w:rFonts w:hint="eastAsia" w:ascii="宋体" w:hAnsi="宋体" w:eastAsia="宋体" w:cs="宋体"/>
                <w:sz w:val="21"/>
                <w:szCs w:val="21"/>
              </w:rPr>
              <w:t>-0.8</w:t>
            </w:r>
            <w:bookmarkEnd w:id="154"/>
          </w:p>
        </w:tc>
      </w:tr>
      <w:tr w14:paraId="24A9A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0E8394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5" w:name="_Toc183541296"/>
            <w:r>
              <w:rPr>
                <w:rFonts w:hint="eastAsia" w:ascii="宋体" w:hAnsi="宋体" w:eastAsia="宋体" w:cs="宋体"/>
                <w:sz w:val="21"/>
                <w:szCs w:val="21"/>
              </w:rPr>
              <w:t>499.82</w:t>
            </w:r>
            <w:bookmarkEnd w:id="155"/>
          </w:p>
        </w:tc>
        <w:tc>
          <w:tcPr>
            <w:tcW w:w="1666" w:type="pct"/>
            <w:vAlign w:val="center"/>
          </w:tcPr>
          <w:p w14:paraId="343FB4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6" w:name="_Toc183541297"/>
            <w:r>
              <w:rPr>
                <w:rFonts w:hint="eastAsia" w:ascii="宋体" w:hAnsi="宋体" w:eastAsia="宋体" w:cs="宋体"/>
                <w:sz w:val="21"/>
                <w:szCs w:val="21"/>
              </w:rPr>
              <w:t>498.1</w:t>
            </w:r>
            <w:bookmarkEnd w:id="156"/>
          </w:p>
        </w:tc>
        <w:tc>
          <w:tcPr>
            <w:tcW w:w="1667" w:type="pct"/>
            <w:vAlign w:val="center"/>
          </w:tcPr>
          <w:p w14:paraId="557E16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7" w:name="_Toc183541298"/>
            <w:r>
              <w:rPr>
                <w:rFonts w:hint="eastAsia" w:ascii="宋体" w:hAnsi="宋体" w:eastAsia="宋体" w:cs="宋体"/>
                <w:sz w:val="21"/>
                <w:szCs w:val="21"/>
              </w:rPr>
              <w:t>-1.7</w:t>
            </w:r>
            <w:bookmarkEnd w:id="157"/>
          </w:p>
        </w:tc>
      </w:tr>
      <w:tr w14:paraId="4794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6" w:type="pct"/>
            <w:vAlign w:val="center"/>
          </w:tcPr>
          <w:p w14:paraId="66E5AE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8" w:name="_Toc183541299"/>
            <w:r>
              <w:rPr>
                <w:rFonts w:hint="eastAsia" w:ascii="宋体" w:hAnsi="宋体" w:eastAsia="宋体" w:cs="宋体"/>
                <w:sz w:val="21"/>
                <w:szCs w:val="21"/>
              </w:rPr>
              <w:t>598.13</w:t>
            </w:r>
            <w:bookmarkEnd w:id="158"/>
          </w:p>
        </w:tc>
        <w:tc>
          <w:tcPr>
            <w:tcW w:w="1666" w:type="pct"/>
            <w:vAlign w:val="center"/>
          </w:tcPr>
          <w:p w14:paraId="40F62E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59" w:name="_Toc183541300"/>
            <w:r>
              <w:rPr>
                <w:rFonts w:hint="eastAsia" w:ascii="宋体" w:hAnsi="宋体" w:eastAsia="宋体" w:cs="宋体"/>
                <w:sz w:val="21"/>
                <w:szCs w:val="21"/>
              </w:rPr>
              <w:t>596.3</w:t>
            </w:r>
            <w:bookmarkEnd w:id="159"/>
          </w:p>
        </w:tc>
        <w:tc>
          <w:tcPr>
            <w:tcW w:w="1667" w:type="pct"/>
            <w:vAlign w:val="center"/>
          </w:tcPr>
          <w:p w14:paraId="6EBEAE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60" w:name="_Toc183541301"/>
            <w:r>
              <w:rPr>
                <w:rFonts w:hint="eastAsia" w:ascii="宋体" w:hAnsi="宋体" w:eastAsia="宋体" w:cs="宋体"/>
                <w:sz w:val="21"/>
                <w:szCs w:val="21"/>
              </w:rPr>
              <w:t>-1.8</w:t>
            </w:r>
            <w:bookmarkEnd w:id="160"/>
          </w:p>
        </w:tc>
      </w:tr>
    </w:tbl>
    <w:p w14:paraId="209166A8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161" w:name="_Toc183541302"/>
      <w:r>
        <w:rPr>
          <w:rFonts w:hint="eastAsia" w:ascii="黑体" w:hAnsi="黑体" w:eastAsia="黑体"/>
          <w:sz w:val="24"/>
        </w:rPr>
        <w:t>3.3.5线路电阻</w:t>
      </w:r>
      <w:bookmarkEnd w:id="161"/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BF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pct"/>
            <w:vAlign w:val="center"/>
          </w:tcPr>
          <w:p w14:paraId="78C37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0"/>
              <w:rPr>
                <w:rFonts w:eastAsia="宋体"/>
                <w:sz w:val="24"/>
              </w:rPr>
            </w:pPr>
            <w:bookmarkStart w:id="162" w:name="_Toc183541303"/>
            <w:r>
              <w:rPr>
                <w:rFonts w:hint="eastAsia" w:eastAsia="宋体"/>
                <w:sz w:val="24"/>
              </w:rPr>
              <w:t>测试电流（A）</w:t>
            </w:r>
            <w:bookmarkEnd w:id="162"/>
          </w:p>
        </w:tc>
        <w:tc>
          <w:tcPr>
            <w:tcW w:w="2500" w:type="pct"/>
            <w:vAlign w:val="center"/>
          </w:tcPr>
          <w:p w14:paraId="70A5D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0"/>
              <w:rPr>
                <w:rFonts w:eastAsia="宋体"/>
                <w:sz w:val="24"/>
              </w:rPr>
            </w:pPr>
            <w:bookmarkStart w:id="163" w:name="_Toc183541304"/>
            <w:r>
              <w:rPr>
                <w:rFonts w:hint="eastAsia" w:eastAsia="宋体"/>
                <w:sz w:val="24"/>
              </w:rPr>
              <w:t>线路电阻（</w:t>
            </w:r>
            <w:r>
              <w:rPr>
                <w:rFonts w:hint="eastAsia" w:hAnsi="宋体"/>
                <w:sz w:val="24"/>
                <w:shd w:val="clear" w:color="auto" w:fill="FFFFFF"/>
              </w:rPr>
              <w:t>m</w:t>
            </w:r>
            <w:r>
              <w:rPr>
                <w:sz w:val="24"/>
                <w:shd w:val="clear" w:color="auto" w:fill="FFFFFF"/>
              </w:rPr>
              <w:t>Ω</w:t>
            </w:r>
            <w:r>
              <w:rPr>
                <w:rFonts w:hint="eastAsia" w:eastAsia="宋体"/>
                <w:sz w:val="24"/>
              </w:rPr>
              <w:t>）</w:t>
            </w:r>
            <w:bookmarkEnd w:id="163"/>
          </w:p>
        </w:tc>
      </w:tr>
      <w:tr w14:paraId="04BFE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pct"/>
            <w:vAlign w:val="center"/>
          </w:tcPr>
          <w:p w14:paraId="23597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0"/>
              <w:rPr>
                <w:rFonts w:eastAsia="宋体"/>
                <w:sz w:val="24"/>
              </w:rPr>
            </w:pPr>
            <w:bookmarkStart w:id="164" w:name="_Toc183541305"/>
            <w:r>
              <w:rPr>
                <w:rFonts w:hint="eastAsia" w:eastAsia="宋体"/>
                <w:sz w:val="24"/>
              </w:rPr>
              <w:t>100</w:t>
            </w:r>
            <w:bookmarkEnd w:id="164"/>
          </w:p>
        </w:tc>
        <w:tc>
          <w:tcPr>
            <w:tcW w:w="2500" w:type="pct"/>
            <w:vAlign w:val="center"/>
          </w:tcPr>
          <w:p w14:paraId="56B58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0"/>
              <w:rPr>
                <w:rFonts w:eastAsia="宋体"/>
                <w:sz w:val="24"/>
              </w:rPr>
            </w:pPr>
            <w:bookmarkStart w:id="165" w:name="_Toc183541306"/>
            <w:r>
              <w:rPr>
                <w:rFonts w:hint="eastAsia" w:eastAsia="宋体"/>
                <w:sz w:val="24"/>
              </w:rPr>
              <w:t>2.926</w:t>
            </w:r>
            <w:bookmarkEnd w:id="165"/>
          </w:p>
        </w:tc>
      </w:tr>
      <w:tr w14:paraId="5F240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pct"/>
            <w:vAlign w:val="center"/>
          </w:tcPr>
          <w:p w14:paraId="22F9F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0"/>
              <w:rPr>
                <w:rFonts w:eastAsia="宋体"/>
                <w:sz w:val="24"/>
              </w:rPr>
            </w:pPr>
            <w:bookmarkStart w:id="166" w:name="_Toc183541307"/>
            <w:r>
              <w:rPr>
                <w:rFonts w:hint="eastAsia" w:eastAsia="宋体"/>
                <w:sz w:val="24"/>
              </w:rPr>
              <w:t>200</w:t>
            </w:r>
            <w:bookmarkEnd w:id="166"/>
          </w:p>
        </w:tc>
        <w:tc>
          <w:tcPr>
            <w:tcW w:w="2500" w:type="pct"/>
            <w:vAlign w:val="center"/>
          </w:tcPr>
          <w:p w14:paraId="0F943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0"/>
              <w:rPr>
                <w:rFonts w:eastAsia="宋体"/>
                <w:sz w:val="24"/>
              </w:rPr>
            </w:pPr>
            <w:bookmarkStart w:id="167" w:name="_Toc183541308"/>
            <w:r>
              <w:rPr>
                <w:rFonts w:hint="eastAsia" w:eastAsia="宋体"/>
                <w:sz w:val="24"/>
              </w:rPr>
              <w:t>2.749</w:t>
            </w:r>
            <w:bookmarkEnd w:id="167"/>
          </w:p>
        </w:tc>
      </w:tr>
    </w:tbl>
    <w:p w14:paraId="6354F4EF">
      <w:pPr>
        <w:adjustRightInd w:val="0"/>
        <w:snapToGrid w:val="0"/>
        <w:spacing w:line="360" w:lineRule="auto"/>
        <w:outlineLvl w:val="0"/>
        <w:rPr>
          <w:rFonts w:ascii="黑体" w:hAnsi="黑体" w:eastAsia="黑体"/>
          <w:sz w:val="24"/>
        </w:rPr>
      </w:pPr>
      <w:bookmarkStart w:id="168" w:name="_Toc183541309"/>
      <w:r>
        <w:rPr>
          <w:rFonts w:hint="eastAsia" w:ascii="黑体" w:hAnsi="黑体" w:eastAsia="黑体"/>
          <w:sz w:val="24"/>
        </w:rPr>
        <w:t>3.3.6温度示值误差</w:t>
      </w:r>
      <w:bookmarkEnd w:id="168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0411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Align w:val="center"/>
          </w:tcPr>
          <w:p w14:paraId="65FAA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00" w:name="_GoBack"/>
            <w:bookmarkStart w:id="169" w:name="_Toc183541310"/>
            <w:r>
              <w:rPr>
                <w:rFonts w:hint="eastAsia" w:ascii="宋体" w:hAnsi="宋体" w:eastAsia="宋体" w:cs="宋体"/>
                <w:sz w:val="21"/>
                <w:szCs w:val="21"/>
              </w:rPr>
              <w:t>通道</w:t>
            </w:r>
            <w:bookmarkEnd w:id="169"/>
          </w:p>
        </w:tc>
        <w:tc>
          <w:tcPr>
            <w:tcW w:w="1250" w:type="pct"/>
            <w:vAlign w:val="center"/>
          </w:tcPr>
          <w:p w14:paraId="695C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0" w:name="_Toc183541311"/>
            <w:r>
              <w:rPr>
                <w:rFonts w:hint="eastAsia" w:ascii="宋体" w:hAnsi="宋体" w:eastAsia="宋体" w:cs="宋体"/>
                <w:sz w:val="21"/>
                <w:szCs w:val="21"/>
              </w:rPr>
              <w:t>标准示值（℃）</w:t>
            </w:r>
            <w:bookmarkEnd w:id="170"/>
          </w:p>
        </w:tc>
        <w:tc>
          <w:tcPr>
            <w:tcW w:w="1250" w:type="pct"/>
            <w:vAlign w:val="center"/>
          </w:tcPr>
          <w:p w14:paraId="0AAD7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1" w:name="_Toc183541312"/>
            <w:r>
              <w:rPr>
                <w:rFonts w:hint="eastAsia" w:ascii="宋体" w:hAnsi="宋体" w:eastAsia="宋体" w:cs="宋体"/>
                <w:sz w:val="21"/>
                <w:szCs w:val="21"/>
              </w:rPr>
              <w:t>被校示值（℃）</w:t>
            </w:r>
            <w:bookmarkEnd w:id="171"/>
          </w:p>
        </w:tc>
        <w:tc>
          <w:tcPr>
            <w:tcW w:w="1250" w:type="pct"/>
            <w:vAlign w:val="center"/>
          </w:tcPr>
          <w:p w14:paraId="6F34F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2" w:name="_Toc183541313"/>
            <w:r>
              <w:rPr>
                <w:rFonts w:hint="eastAsia" w:ascii="宋体" w:hAnsi="宋体" w:eastAsia="宋体" w:cs="宋体"/>
                <w:sz w:val="21"/>
                <w:szCs w:val="21"/>
              </w:rPr>
              <w:t>误差（℃）</w:t>
            </w:r>
            <w:bookmarkEnd w:id="172"/>
          </w:p>
        </w:tc>
      </w:tr>
      <w:tr w14:paraId="0112D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restart"/>
            <w:vAlign w:val="center"/>
          </w:tcPr>
          <w:p w14:paraId="5CBF7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3" w:name="_Toc183541314"/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bookmarkEnd w:id="173"/>
          </w:p>
        </w:tc>
        <w:tc>
          <w:tcPr>
            <w:tcW w:w="1250" w:type="pct"/>
            <w:vAlign w:val="center"/>
          </w:tcPr>
          <w:p w14:paraId="39274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4" w:name="_Toc183541315"/>
            <w:r>
              <w:rPr>
                <w:rFonts w:hint="eastAsia" w:ascii="宋体" w:hAnsi="宋体" w:eastAsia="宋体" w:cs="宋体"/>
                <w:sz w:val="21"/>
                <w:szCs w:val="21"/>
              </w:rPr>
              <w:t>25.00</w:t>
            </w:r>
            <w:bookmarkEnd w:id="174"/>
          </w:p>
        </w:tc>
        <w:tc>
          <w:tcPr>
            <w:tcW w:w="1250" w:type="pct"/>
            <w:vAlign w:val="center"/>
          </w:tcPr>
          <w:p w14:paraId="439EE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5" w:name="_Toc183541316"/>
            <w:r>
              <w:rPr>
                <w:rFonts w:hint="eastAsia" w:ascii="宋体" w:hAnsi="宋体" w:eastAsia="宋体" w:cs="宋体"/>
                <w:sz w:val="21"/>
                <w:szCs w:val="21"/>
              </w:rPr>
              <w:t>24.8</w:t>
            </w:r>
            <w:bookmarkEnd w:id="175"/>
          </w:p>
        </w:tc>
        <w:tc>
          <w:tcPr>
            <w:tcW w:w="1250" w:type="pct"/>
            <w:vAlign w:val="center"/>
          </w:tcPr>
          <w:p w14:paraId="1F015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6" w:name="_Toc183541317"/>
            <w:r>
              <w:rPr>
                <w:rFonts w:hint="eastAsia" w:ascii="宋体" w:hAnsi="宋体" w:eastAsia="宋体" w:cs="宋体"/>
                <w:sz w:val="21"/>
                <w:szCs w:val="21"/>
              </w:rPr>
              <w:t>-0.2</w:t>
            </w:r>
            <w:bookmarkEnd w:id="176"/>
          </w:p>
        </w:tc>
      </w:tr>
      <w:tr w14:paraId="6ADFF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continue"/>
            <w:vAlign w:val="center"/>
          </w:tcPr>
          <w:p w14:paraId="6B682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4E825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7" w:name="_Toc183541318"/>
            <w:r>
              <w:rPr>
                <w:rFonts w:hint="eastAsia" w:ascii="宋体" w:hAnsi="宋体" w:eastAsia="宋体" w:cs="宋体"/>
                <w:sz w:val="21"/>
                <w:szCs w:val="21"/>
              </w:rPr>
              <w:t>50.00</w:t>
            </w:r>
            <w:bookmarkEnd w:id="177"/>
          </w:p>
        </w:tc>
        <w:tc>
          <w:tcPr>
            <w:tcW w:w="1250" w:type="pct"/>
            <w:vAlign w:val="center"/>
          </w:tcPr>
          <w:p w14:paraId="0A3BA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8" w:name="_Toc183541319"/>
            <w:r>
              <w:rPr>
                <w:rFonts w:hint="eastAsia" w:ascii="宋体" w:hAnsi="宋体" w:eastAsia="宋体" w:cs="宋体"/>
                <w:sz w:val="21"/>
                <w:szCs w:val="21"/>
              </w:rPr>
              <w:t>49.9</w:t>
            </w:r>
            <w:bookmarkEnd w:id="178"/>
          </w:p>
        </w:tc>
        <w:tc>
          <w:tcPr>
            <w:tcW w:w="1250" w:type="pct"/>
            <w:vAlign w:val="center"/>
          </w:tcPr>
          <w:p w14:paraId="506A8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79" w:name="_Toc183541320"/>
            <w:r>
              <w:rPr>
                <w:rFonts w:hint="eastAsia" w:ascii="宋体" w:hAnsi="宋体" w:eastAsia="宋体" w:cs="宋体"/>
                <w:sz w:val="21"/>
                <w:szCs w:val="21"/>
              </w:rPr>
              <w:t>-0.1</w:t>
            </w:r>
            <w:bookmarkEnd w:id="179"/>
          </w:p>
        </w:tc>
      </w:tr>
      <w:tr w14:paraId="7658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continue"/>
            <w:vAlign w:val="center"/>
          </w:tcPr>
          <w:p w14:paraId="06F5E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441BB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0" w:name="_Toc183541321"/>
            <w:r>
              <w:rPr>
                <w:rFonts w:hint="eastAsia" w:ascii="宋体" w:hAnsi="宋体" w:eastAsia="宋体" w:cs="宋体"/>
                <w:sz w:val="21"/>
                <w:szCs w:val="21"/>
              </w:rPr>
              <w:t>80.00</w:t>
            </w:r>
            <w:bookmarkEnd w:id="180"/>
          </w:p>
        </w:tc>
        <w:tc>
          <w:tcPr>
            <w:tcW w:w="1250" w:type="pct"/>
            <w:vAlign w:val="center"/>
          </w:tcPr>
          <w:p w14:paraId="5A0E2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1" w:name="_Toc183541322"/>
            <w:r>
              <w:rPr>
                <w:rFonts w:hint="eastAsia" w:ascii="宋体" w:hAnsi="宋体" w:eastAsia="宋体" w:cs="宋体"/>
                <w:sz w:val="21"/>
                <w:szCs w:val="21"/>
              </w:rPr>
              <w:t>79.1</w:t>
            </w:r>
            <w:bookmarkEnd w:id="181"/>
          </w:p>
        </w:tc>
        <w:tc>
          <w:tcPr>
            <w:tcW w:w="1250" w:type="pct"/>
            <w:vAlign w:val="center"/>
          </w:tcPr>
          <w:p w14:paraId="169C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2" w:name="_Toc183541323"/>
            <w:r>
              <w:rPr>
                <w:rFonts w:hint="eastAsia" w:ascii="宋体" w:hAnsi="宋体" w:eastAsia="宋体" w:cs="宋体"/>
                <w:sz w:val="21"/>
                <w:szCs w:val="21"/>
              </w:rPr>
              <w:t>-0.9</w:t>
            </w:r>
            <w:bookmarkEnd w:id="182"/>
          </w:p>
        </w:tc>
      </w:tr>
      <w:tr w14:paraId="68042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continue"/>
            <w:vAlign w:val="center"/>
          </w:tcPr>
          <w:p w14:paraId="407B7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18F0B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3" w:name="_Toc183541324"/>
            <w:r>
              <w:rPr>
                <w:rFonts w:hint="eastAsia" w:ascii="宋体" w:hAnsi="宋体" w:eastAsia="宋体" w:cs="宋体"/>
                <w:sz w:val="21"/>
                <w:szCs w:val="21"/>
              </w:rPr>
              <w:t>130.00</w:t>
            </w:r>
            <w:bookmarkEnd w:id="183"/>
          </w:p>
        </w:tc>
        <w:tc>
          <w:tcPr>
            <w:tcW w:w="1250" w:type="pct"/>
            <w:vAlign w:val="center"/>
          </w:tcPr>
          <w:p w14:paraId="1A19B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4" w:name="_Toc183541325"/>
            <w:r>
              <w:rPr>
                <w:rFonts w:hint="eastAsia" w:ascii="宋体" w:hAnsi="宋体" w:eastAsia="宋体" w:cs="宋体"/>
                <w:sz w:val="21"/>
                <w:szCs w:val="21"/>
              </w:rPr>
              <w:t>129.5</w:t>
            </w:r>
            <w:bookmarkEnd w:id="184"/>
          </w:p>
        </w:tc>
        <w:tc>
          <w:tcPr>
            <w:tcW w:w="1250" w:type="pct"/>
            <w:vAlign w:val="center"/>
          </w:tcPr>
          <w:p w14:paraId="39C77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5" w:name="_Toc183541326"/>
            <w:r>
              <w:rPr>
                <w:rFonts w:hint="eastAsia" w:ascii="宋体" w:hAnsi="宋体" w:eastAsia="宋体" w:cs="宋体"/>
                <w:sz w:val="21"/>
                <w:szCs w:val="21"/>
              </w:rPr>
              <w:t>-0.5</w:t>
            </w:r>
            <w:bookmarkEnd w:id="185"/>
          </w:p>
        </w:tc>
      </w:tr>
      <w:tr w14:paraId="46D8A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restart"/>
            <w:vAlign w:val="center"/>
          </w:tcPr>
          <w:p w14:paraId="7A267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6" w:name="_Toc183541327"/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bookmarkEnd w:id="186"/>
          </w:p>
        </w:tc>
        <w:tc>
          <w:tcPr>
            <w:tcW w:w="1250" w:type="pct"/>
            <w:vAlign w:val="center"/>
          </w:tcPr>
          <w:p w14:paraId="1DE0E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7" w:name="_Toc183541328"/>
            <w:r>
              <w:rPr>
                <w:rFonts w:hint="eastAsia" w:ascii="宋体" w:hAnsi="宋体" w:eastAsia="宋体" w:cs="宋体"/>
                <w:sz w:val="21"/>
                <w:szCs w:val="21"/>
              </w:rPr>
              <w:t>25.00</w:t>
            </w:r>
            <w:bookmarkEnd w:id="187"/>
          </w:p>
        </w:tc>
        <w:tc>
          <w:tcPr>
            <w:tcW w:w="1250" w:type="pct"/>
            <w:vAlign w:val="center"/>
          </w:tcPr>
          <w:p w14:paraId="12FE6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8" w:name="_Toc183541329"/>
            <w:r>
              <w:rPr>
                <w:rFonts w:hint="eastAsia" w:ascii="宋体" w:hAnsi="宋体" w:eastAsia="宋体" w:cs="宋体"/>
                <w:sz w:val="21"/>
                <w:szCs w:val="21"/>
              </w:rPr>
              <w:t>24.4</w:t>
            </w:r>
            <w:bookmarkEnd w:id="188"/>
          </w:p>
        </w:tc>
        <w:tc>
          <w:tcPr>
            <w:tcW w:w="1250" w:type="pct"/>
            <w:vAlign w:val="center"/>
          </w:tcPr>
          <w:p w14:paraId="4EA1C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89" w:name="_Toc183541330"/>
            <w:r>
              <w:rPr>
                <w:rFonts w:hint="eastAsia" w:ascii="宋体" w:hAnsi="宋体" w:eastAsia="宋体" w:cs="宋体"/>
                <w:sz w:val="21"/>
                <w:szCs w:val="21"/>
              </w:rPr>
              <w:t>-0.6</w:t>
            </w:r>
            <w:bookmarkEnd w:id="189"/>
          </w:p>
        </w:tc>
      </w:tr>
      <w:tr w14:paraId="182A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continue"/>
            <w:vAlign w:val="center"/>
          </w:tcPr>
          <w:p w14:paraId="6465E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7D5E9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0" w:name="_Toc183541331"/>
            <w:r>
              <w:rPr>
                <w:rFonts w:hint="eastAsia" w:ascii="宋体" w:hAnsi="宋体" w:eastAsia="宋体" w:cs="宋体"/>
                <w:sz w:val="21"/>
                <w:szCs w:val="21"/>
              </w:rPr>
              <w:t>50.00</w:t>
            </w:r>
            <w:bookmarkEnd w:id="190"/>
          </w:p>
        </w:tc>
        <w:tc>
          <w:tcPr>
            <w:tcW w:w="1250" w:type="pct"/>
            <w:vAlign w:val="center"/>
          </w:tcPr>
          <w:p w14:paraId="1E95A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1" w:name="_Toc183541332"/>
            <w:r>
              <w:rPr>
                <w:rFonts w:hint="eastAsia" w:ascii="宋体" w:hAnsi="宋体" w:eastAsia="宋体" w:cs="宋体"/>
                <w:sz w:val="21"/>
                <w:szCs w:val="21"/>
              </w:rPr>
              <w:t>49.4</w:t>
            </w:r>
            <w:bookmarkEnd w:id="191"/>
          </w:p>
        </w:tc>
        <w:tc>
          <w:tcPr>
            <w:tcW w:w="1250" w:type="pct"/>
            <w:vAlign w:val="center"/>
          </w:tcPr>
          <w:p w14:paraId="3C01F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2" w:name="_Toc183541333"/>
            <w:r>
              <w:rPr>
                <w:rFonts w:hint="eastAsia" w:ascii="宋体" w:hAnsi="宋体" w:eastAsia="宋体" w:cs="宋体"/>
                <w:sz w:val="21"/>
                <w:szCs w:val="21"/>
              </w:rPr>
              <w:t>-0.6</w:t>
            </w:r>
            <w:bookmarkEnd w:id="192"/>
          </w:p>
        </w:tc>
      </w:tr>
      <w:tr w14:paraId="307B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continue"/>
            <w:vAlign w:val="center"/>
          </w:tcPr>
          <w:p w14:paraId="09DEE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77E1A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3" w:name="_Toc183541334"/>
            <w:r>
              <w:rPr>
                <w:rFonts w:hint="eastAsia" w:ascii="宋体" w:hAnsi="宋体" w:eastAsia="宋体" w:cs="宋体"/>
                <w:sz w:val="21"/>
                <w:szCs w:val="21"/>
              </w:rPr>
              <w:t>80.00</w:t>
            </w:r>
            <w:bookmarkEnd w:id="193"/>
          </w:p>
        </w:tc>
        <w:tc>
          <w:tcPr>
            <w:tcW w:w="1250" w:type="pct"/>
            <w:vAlign w:val="center"/>
          </w:tcPr>
          <w:p w14:paraId="00736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4" w:name="_Toc183541335"/>
            <w:r>
              <w:rPr>
                <w:rFonts w:hint="eastAsia" w:ascii="宋体" w:hAnsi="宋体" w:eastAsia="宋体" w:cs="宋体"/>
                <w:sz w:val="21"/>
                <w:szCs w:val="21"/>
              </w:rPr>
              <w:t>79.3</w:t>
            </w:r>
            <w:bookmarkEnd w:id="194"/>
          </w:p>
        </w:tc>
        <w:tc>
          <w:tcPr>
            <w:tcW w:w="1250" w:type="pct"/>
            <w:vAlign w:val="center"/>
          </w:tcPr>
          <w:p w14:paraId="125BC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5" w:name="_Toc183541336"/>
            <w:r>
              <w:rPr>
                <w:rFonts w:hint="eastAsia" w:ascii="宋体" w:hAnsi="宋体" w:eastAsia="宋体" w:cs="宋体"/>
                <w:sz w:val="21"/>
                <w:szCs w:val="21"/>
              </w:rPr>
              <w:t>-0.7</w:t>
            </w:r>
            <w:bookmarkEnd w:id="195"/>
          </w:p>
        </w:tc>
      </w:tr>
      <w:tr w14:paraId="1AE0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0" w:type="pct"/>
            <w:vMerge w:val="continue"/>
            <w:vAlign w:val="center"/>
          </w:tcPr>
          <w:p w14:paraId="218D6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50" w:type="pct"/>
            <w:vAlign w:val="center"/>
          </w:tcPr>
          <w:p w14:paraId="07032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6" w:name="_Toc183541337"/>
            <w:r>
              <w:rPr>
                <w:rFonts w:hint="eastAsia" w:ascii="宋体" w:hAnsi="宋体" w:eastAsia="宋体" w:cs="宋体"/>
                <w:sz w:val="21"/>
                <w:szCs w:val="21"/>
              </w:rPr>
              <w:t>130.00</w:t>
            </w:r>
            <w:bookmarkEnd w:id="196"/>
          </w:p>
        </w:tc>
        <w:tc>
          <w:tcPr>
            <w:tcW w:w="1250" w:type="pct"/>
            <w:vAlign w:val="center"/>
          </w:tcPr>
          <w:p w14:paraId="753F3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7" w:name="_Toc183541338"/>
            <w:r>
              <w:rPr>
                <w:rFonts w:hint="eastAsia" w:ascii="宋体" w:hAnsi="宋体" w:eastAsia="宋体" w:cs="宋体"/>
                <w:sz w:val="21"/>
                <w:szCs w:val="21"/>
              </w:rPr>
              <w:t>129.8</w:t>
            </w:r>
            <w:bookmarkEnd w:id="197"/>
          </w:p>
        </w:tc>
        <w:tc>
          <w:tcPr>
            <w:tcW w:w="1250" w:type="pct"/>
            <w:vAlign w:val="center"/>
          </w:tcPr>
          <w:p w14:paraId="0833C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98" w:name="_Toc183541339"/>
            <w:r>
              <w:rPr>
                <w:rFonts w:hint="eastAsia" w:ascii="宋体" w:hAnsi="宋体" w:eastAsia="宋体" w:cs="宋体"/>
                <w:sz w:val="21"/>
                <w:szCs w:val="21"/>
              </w:rPr>
              <w:t>-0.2</w:t>
            </w:r>
            <w:bookmarkEnd w:id="198"/>
          </w:p>
        </w:tc>
      </w:tr>
      <w:bookmarkEnd w:id="200"/>
    </w:tbl>
    <w:p w14:paraId="46A5A6DB">
      <w:pPr>
        <w:adjustRightInd w:val="0"/>
        <w:snapToGrid w:val="0"/>
        <w:spacing w:before="156" w:beforeLines="50" w:line="360" w:lineRule="auto"/>
        <w:rPr>
          <w:rFonts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  结论</w:t>
      </w:r>
    </w:p>
    <w:p w14:paraId="3CEC5BCC">
      <w:pPr>
        <w:adjustRightInd w:val="0"/>
        <w:snapToGrid w:val="0"/>
        <w:spacing w:line="360" w:lineRule="auto"/>
        <w:ind w:firstLine="420"/>
        <w:outlineLvl w:val="0"/>
        <w:rPr>
          <w:rFonts w:eastAsia="宋体"/>
          <w:sz w:val="24"/>
        </w:rPr>
      </w:pPr>
      <w:bookmarkStart w:id="199" w:name="_Toc183541340"/>
      <w:r>
        <w:rPr>
          <w:rFonts w:hint="eastAsia" w:eastAsia="宋体"/>
          <w:sz w:val="24"/>
        </w:rPr>
        <w:t>此次试验验证，选取一台动力电池短路测试仪，采用校准规范初稿中提出的直流电压示值误差、短路电流示值误差、线路电阻、温度示值误差校准方法，开展测试仪的校准工作。试验结果表明，提出的计量特性参数合理，校准方法可行。</w:t>
      </w:r>
      <w:bookmarkEnd w:id="199"/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CC51B">
    <w:pPr>
      <w:pStyle w:val="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55EC6">
    <w:pPr>
      <w:pStyle w:val="7"/>
      <w:framePr w:wrap="around" w:vAnchor="text" w:hAnchor="margin" w:xAlign="right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3BB1E233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EA7AA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9518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2F4D1F66">
                              <w:pPr>
                                <w:pStyle w:val="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6FD30D26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9518"/>
                      <w:docPartObj>
                        <w:docPartGallery w:val="autotext"/>
                      </w:docPartObj>
                    </w:sdtPr>
                    <w:sdtContent>
                      <w:p w14:paraId="2F4D1F66">
                        <w:pPr>
                          <w:pStyle w:val="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6FD30D26"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0D5D7"/>
    <w:multiLevelType w:val="singleLevel"/>
    <w:tmpl w:val="AC80D5D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C0B0E"/>
    <w:rsid w:val="00084A52"/>
    <w:rsid w:val="001110BD"/>
    <w:rsid w:val="00470EAC"/>
    <w:rsid w:val="004E0A16"/>
    <w:rsid w:val="00716C5B"/>
    <w:rsid w:val="007B7554"/>
    <w:rsid w:val="00877264"/>
    <w:rsid w:val="00CE1F03"/>
    <w:rsid w:val="02E602EB"/>
    <w:rsid w:val="079B24F4"/>
    <w:rsid w:val="0AA4654E"/>
    <w:rsid w:val="0EA667E7"/>
    <w:rsid w:val="0EF04678"/>
    <w:rsid w:val="0FD4342B"/>
    <w:rsid w:val="0FE6059D"/>
    <w:rsid w:val="11402AE6"/>
    <w:rsid w:val="13577455"/>
    <w:rsid w:val="14F85EE8"/>
    <w:rsid w:val="15B26FF5"/>
    <w:rsid w:val="15F041A7"/>
    <w:rsid w:val="18AC01E3"/>
    <w:rsid w:val="1B9E6B94"/>
    <w:rsid w:val="1FA94AB2"/>
    <w:rsid w:val="20646F9F"/>
    <w:rsid w:val="208910AF"/>
    <w:rsid w:val="22A45F8B"/>
    <w:rsid w:val="237B07D3"/>
    <w:rsid w:val="2B0260E8"/>
    <w:rsid w:val="2CF24B48"/>
    <w:rsid w:val="2D522EF9"/>
    <w:rsid w:val="2D9426E4"/>
    <w:rsid w:val="2E63693E"/>
    <w:rsid w:val="2E8B2B81"/>
    <w:rsid w:val="2F9D618A"/>
    <w:rsid w:val="2FF96008"/>
    <w:rsid w:val="37195317"/>
    <w:rsid w:val="3736101D"/>
    <w:rsid w:val="3739764C"/>
    <w:rsid w:val="38813D5D"/>
    <w:rsid w:val="3A8856D9"/>
    <w:rsid w:val="3ADF3CBD"/>
    <w:rsid w:val="3C2606EC"/>
    <w:rsid w:val="3D20183E"/>
    <w:rsid w:val="446B446C"/>
    <w:rsid w:val="471463DE"/>
    <w:rsid w:val="473249F7"/>
    <w:rsid w:val="4A8A33D9"/>
    <w:rsid w:val="4B557CDB"/>
    <w:rsid w:val="4F350CCE"/>
    <w:rsid w:val="505D1335"/>
    <w:rsid w:val="508B7B58"/>
    <w:rsid w:val="53B50D6B"/>
    <w:rsid w:val="53CD087C"/>
    <w:rsid w:val="53DA3CDE"/>
    <w:rsid w:val="54CB57C6"/>
    <w:rsid w:val="55257981"/>
    <w:rsid w:val="564C537A"/>
    <w:rsid w:val="564D2E6D"/>
    <w:rsid w:val="56A5656E"/>
    <w:rsid w:val="588831A9"/>
    <w:rsid w:val="598F4633"/>
    <w:rsid w:val="5D4651C2"/>
    <w:rsid w:val="5DAF4A00"/>
    <w:rsid w:val="5DBB6B3E"/>
    <w:rsid w:val="60164AEA"/>
    <w:rsid w:val="609C1A0D"/>
    <w:rsid w:val="625940F7"/>
    <w:rsid w:val="63556D12"/>
    <w:rsid w:val="64907D51"/>
    <w:rsid w:val="653669E5"/>
    <w:rsid w:val="662513E6"/>
    <w:rsid w:val="66C442BE"/>
    <w:rsid w:val="671D169F"/>
    <w:rsid w:val="671D2D8D"/>
    <w:rsid w:val="67693095"/>
    <w:rsid w:val="68F03759"/>
    <w:rsid w:val="6E5E7EBA"/>
    <w:rsid w:val="6F087D4B"/>
    <w:rsid w:val="6F4C0B0E"/>
    <w:rsid w:val="70814712"/>
    <w:rsid w:val="726E23D3"/>
    <w:rsid w:val="743D455D"/>
    <w:rsid w:val="75C021A4"/>
    <w:rsid w:val="76E368EE"/>
    <w:rsid w:val="776C516B"/>
    <w:rsid w:val="798007B7"/>
    <w:rsid w:val="7B2A4C5E"/>
    <w:rsid w:val="7C996C7C"/>
    <w:rsid w:val="7DCD66B8"/>
    <w:rsid w:val="7FA4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uiPriority="39" w:semiHidden="0" w:name="toc 7"/>
    <w:lsdException w:qFormat="1" w:uiPriority="39" w:semiHidden="0" w:name="toc 8"/>
    <w:lsdException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unhideWhenUsed/>
    <w:uiPriority w:val="39"/>
    <w:pPr>
      <w:ind w:left="2520" w:leftChars="1200"/>
    </w:pPr>
    <w:rPr>
      <w:szCs w:val="22"/>
    </w:rPr>
  </w:style>
  <w:style w:type="paragraph" w:styleId="4">
    <w:name w:val="toc 5"/>
    <w:basedOn w:val="1"/>
    <w:next w:val="1"/>
    <w:autoRedefine/>
    <w:unhideWhenUsed/>
    <w:uiPriority w:val="39"/>
    <w:pPr>
      <w:ind w:left="1680" w:leftChars="800"/>
    </w:pPr>
    <w:rPr>
      <w:szCs w:val="22"/>
    </w:rPr>
  </w:style>
  <w:style w:type="paragraph" w:styleId="5">
    <w:name w:val="toc 3"/>
    <w:basedOn w:val="1"/>
    <w:next w:val="1"/>
    <w:autoRedefine/>
    <w:unhideWhenUsed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szCs w:val="22"/>
    </w:rPr>
  </w:style>
  <w:style w:type="paragraph" w:styleId="6">
    <w:name w:val="toc 8"/>
    <w:basedOn w:val="1"/>
    <w:next w:val="1"/>
    <w:autoRedefine/>
    <w:unhideWhenUsed/>
    <w:qFormat/>
    <w:uiPriority w:val="39"/>
    <w:pPr>
      <w:ind w:left="2940" w:leftChars="1400"/>
    </w:pPr>
    <w:rPr>
      <w:szCs w:val="22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  <w:szCs w:val="22"/>
    </w:rPr>
  </w:style>
  <w:style w:type="paragraph" w:styleId="10">
    <w:name w:val="toc 4"/>
    <w:basedOn w:val="1"/>
    <w:next w:val="1"/>
    <w:autoRedefine/>
    <w:unhideWhenUsed/>
    <w:uiPriority w:val="39"/>
    <w:pPr>
      <w:ind w:left="1260" w:leftChars="600"/>
    </w:pPr>
    <w:rPr>
      <w:szCs w:val="22"/>
    </w:rPr>
  </w:style>
  <w:style w:type="paragraph" w:styleId="11">
    <w:name w:val="toc 6"/>
    <w:basedOn w:val="1"/>
    <w:next w:val="1"/>
    <w:autoRedefine/>
    <w:unhideWhenUsed/>
    <w:qFormat/>
    <w:uiPriority w:val="39"/>
    <w:pPr>
      <w:ind w:left="2100" w:leftChars="1000"/>
    </w:pPr>
    <w:rPr>
      <w:szCs w:val="22"/>
    </w:rPr>
  </w:style>
  <w:style w:type="paragraph" w:styleId="12">
    <w:name w:val="toc 2"/>
    <w:basedOn w:val="1"/>
    <w:next w:val="1"/>
    <w:autoRedefine/>
    <w:unhideWhenUsed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szCs w:val="22"/>
    </w:rPr>
  </w:style>
  <w:style w:type="paragraph" w:styleId="13">
    <w:name w:val="toc 9"/>
    <w:basedOn w:val="1"/>
    <w:next w:val="1"/>
    <w:autoRedefine/>
    <w:unhideWhenUsed/>
    <w:uiPriority w:val="39"/>
    <w:pPr>
      <w:ind w:left="3360" w:leftChars="1600"/>
    </w:pPr>
    <w:rPr>
      <w:szCs w:val="22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uiPriority w:val="0"/>
  </w:style>
  <w:style w:type="character" w:styleId="18">
    <w:name w:val="Hyperlink"/>
    <w:basedOn w:val="16"/>
    <w:qFormat/>
    <w:uiPriority w:val="99"/>
    <w:rPr>
      <w:color w:val="0000FF"/>
      <w:u w:val="single"/>
    </w:rPr>
  </w:style>
  <w:style w:type="character" w:customStyle="1" w:styleId="19">
    <w:name w:val="页眉 字符"/>
    <w:basedOn w:val="16"/>
    <w:link w:val="8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6"/>
    <w:link w:val="7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标题 1 字符"/>
    <w:basedOn w:val="16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22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styleId="23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D8AA81-7D6C-4D39-BD17-13C2246ABA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8</Pages>
  <Words>1101</Words>
  <Characters>1647</Characters>
  <Lines>14</Lines>
  <Paragraphs>3</Paragraphs>
  <TotalTime>4</TotalTime>
  <ScaleCrop>false</ScaleCrop>
  <LinksUpToDate>false</LinksUpToDate>
  <CharactersWithSpaces>1707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2023-09-26T02:12:00Z</dcterms:created>
  <dc:creator>Administrator</dc:creator>
  <cp:lastModifiedBy>深圳检测院</cp:lastModifiedBy>
  <dcterms:modified xsi:type="dcterms:W3CDTF">2024-11-26T11:28:45Z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BD7D1D5FB0CF443A8669B0A7DF587A89_12</vt:lpwstr>
  </property>
</Properties>
</file>