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83A73A" w14:textId="77777777" w:rsidR="001A6EA8" w:rsidRDefault="001A6EA8">
      <w:pPr>
        <w:spacing w:line="560" w:lineRule="exact"/>
        <w:rPr>
          <w:rFonts w:eastAsia="黑体"/>
          <w:sz w:val="28"/>
          <w:szCs w:val="28"/>
        </w:rPr>
      </w:pPr>
    </w:p>
    <w:p w14:paraId="76B30A5F" w14:textId="77777777" w:rsidR="001A6EA8" w:rsidRDefault="001A6EA8">
      <w:pPr>
        <w:spacing w:line="560" w:lineRule="exact"/>
        <w:rPr>
          <w:rFonts w:eastAsia="黑体"/>
          <w:sz w:val="28"/>
          <w:szCs w:val="28"/>
        </w:rPr>
      </w:pPr>
    </w:p>
    <w:p w14:paraId="4DA1E874" w14:textId="77777777" w:rsidR="001A6EA8" w:rsidRDefault="001A6EA8">
      <w:pPr>
        <w:spacing w:line="560" w:lineRule="exact"/>
        <w:rPr>
          <w:rFonts w:eastAsia="黑体"/>
          <w:sz w:val="28"/>
          <w:szCs w:val="28"/>
        </w:rPr>
      </w:pPr>
    </w:p>
    <w:p w14:paraId="575F936A" w14:textId="77777777" w:rsidR="001A6EA8" w:rsidRDefault="001A6EA8">
      <w:pPr>
        <w:spacing w:line="560" w:lineRule="exact"/>
        <w:rPr>
          <w:rFonts w:eastAsia="黑体"/>
          <w:sz w:val="28"/>
          <w:szCs w:val="28"/>
        </w:rPr>
      </w:pPr>
    </w:p>
    <w:p w14:paraId="08A72B38" w14:textId="77777777" w:rsidR="001A6EA8" w:rsidRDefault="001A6EA8">
      <w:pPr>
        <w:spacing w:line="560" w:lineRule="exact"/>
        <w:rPr>
          <w:rFonts w:eastAsia="黑体"/>
          <w:sz w:val="28"/>
          <w:szCs w:val="28"/>
        </w:rPr>
      </w:pPr>
    </w:p>
    <w:p w14:paraId="1031B16E" w14:textId="77777777" w:rsidR="001A6EA8" w:rsidRDefault="001A6EA8">
      <w:pPr>
        <w:spacing w:line="560" w:lineRule="exact"/>
        <w:rPr>
          <w:rFonts w:eastAsia="黑体"/>
          <w:sz w:val="28"/>
          <w:szCs w:val="28"/>
        </w:rPr>
      </w:pPr>
    </w:p>
    <w:p w14:paraId="5D707145" w14:textId="38B23EA0" w:rsidR="001A6EA8" w:rsidRDefault="00A5768A">
      <w:pPr>
        <w:jc w:val="center"/>
        <w:rPr>
          <w:b/>
          <w:sz w:val="28"/>
          <w:szCs w:val="28"/>
        </w:rPr>
      </w:pPr>
      <w:r>
        <w:rPr>
          <w:b/>
          <w:sz w:val="28"/>
          <w:szCs w:val="28"/>
        </w:rPr>
        <w:t>JJF 1139-</w:t>
      </w:r>
      <w:r w:rsidR="00A55726">
        <w:rPr>
          <w:b/>
          <w:sz w:val="28"/>
          <w:szCs w:val="28"/>
        </w:rPr>
        <w:t>202</w:t>
      </w:r>
      <w:r w:rsidR="00E435FF">
        <w:rPr>
          <w:b/>
          <w:sz w:val="28"/>
          <w:szCs w:val="28"/>
        </w:rPr>
        <w:t>X</w:t>
      </w:r>
    </w:p>
    <w:p w14:paraId="3DB659A1" w14:textId="77777777" w:rsidR="001A6EA8" w:rsidRDefault="00A5768A">
      <w:pPr>
        <w:ind w:leftChars="-135" w:left="-103" w:rightChars="-146" w:right="-307" w:hangingChars="64" w:hanging="180"/>
        <w:jc w:val="center"/>
        <w:rPr>
          <w:b/>
          <w:sz w:val="28"/>
          <w:szCs w:val="28"/>
        </w:rPr>
      </w:pPr>
      <w:r>
        <w:rPr>
          <w:b/>
          <w:sz w:val="28"/>
          <w:szCs w:val="28"/>
        </w:rPr>
        <w:t>《计量器具检定周期确定原则和方法》</w:t>
      </w:r>
    </w:p>
    <w:p w14:paraId="17994F1B" w14:textId="77777777" w:rsidR="001A6EA8" w:rsidRDefault="001A6EA8">
      <w:pPr>
        <w:jc w:val="center"/>
        <w:rPr>
          <w:b/>
          <w:sz w:val="28"/>
          <w:szCs w:val="28"/>
        </w:rPr>
      </w:pPr>
    </w:p>
    <w:p w14:paraId="6F7C7B93" w14:textId="77777777" w:rsidR="001A6EA8" w:rsidRDefault="00A5768A">
      <w:pPr>
        <w:jc w:val="center"/>
        <w:rPr>
          <w:b/>
          <w:sz w:val="28"/>
          <w:szCs w:val="28"/>
        </w:rPr>
      </w:pPr>
      <w:r>
        <w:rPr>
          <w:b/>
          <w:sz w:val="28"/>
          <w:szCs w:val="28"/>
        </w:rPr>
        <w:t>国家计量技术规范</w:t>
      </w:r>
    </w:p>
    <w:p w14:paraId="159D9C28" w14:textId="77777777" w:rsidR="001A6EA8" w:rsidRDefault="001A6EA8">
      <w:pPr>
        <w:spacing w:line="560" w:lineRule="exact"/>
        <w:ind w:left="1399" w:hanging="280"/>
        <w:rPr>
          <w:rFonts w:ascii="黑体" w:eastAsia="黑体"/>
          <w:sz w:val="28"/>
          <w:szCs w:val="28"/>
        </w:rPr>
      </w:pPr>
    </w:p>
    <w:p w14:paraId="5A7C77C8" w14:textId="77777777" w:rsidR="001A6EA8" w:rsidRDefault="00A5768A">
      <w:pPr>
        <w:spacing w:line="560" w:lineRule="exact"/>
        <w:jc w:val="center"/>
        <w:rPr>
          <w:rFonts w:ascii="黑体" w:eastAsia="黑体"/>
          <w:sz w:val="28"/>
          <w:szCs w:val="28"/>
        </w:rPr>
      </w:pPr>
      <w:r>
        <w:rPr>
          <w:rFonts w:ascii="黑体" w:eastAsia="黑体" w:hint="eastAsia"/>
          <w:sz w:val="28"/>
          <w:szCs w:val="28"/>
        </w:rPr>
        <w:t>编写说明</w:t>
      </w:r>
    </w:p>
    <w:p w14:paraId="740C17E8" w14:textId="77777777" w:rsidR="001A6EA8" w:rsidRDefault="00A5768A">
      <w:pPr>
        <w:spacing w:line="560" w:lineRule="exact"/>
        <w:jc w:val="center"/>
        <w:rPr>
          <w:rFonts w:ascii="黑体" w:eastAsia="黑体"/>
          <w:sz w:val="28"/>
          <w:szCs w:val="28"/>
        </w:rPr>
      </w:pPr>
      <w:r>
        <w:rPr>
          <w:rFonts w:ascii="黑体" w:eastAsia="黑体" w:hint="eastAsia"/>
          <w:sz w:val="28"/>
          <w:szCs w:val="28"/>
        </w:rPr>
        <w:t xml:space="preserve"> </w:t>
      </w:r>
    </w:p>
    <w:p w14:paraId="0EFE20D6" w14:textId="77777777" w:rsidR="001A6EA8" w:rsidRDefault="001A6EA8">
      <w:pPr>
        <w:spacing w:line="560" w:lineRule="exact"/>
        <w:ind w:left="1399" w:hanging="280"/>
        <w:rPr>
          <w:rFonts w:ascii="黑体" w:eastAsia="黑体"/>
          <w:sz w:val="28"/>
          <w:szCs w:val="28"/>
        </w:rPr>
      </w:pPr>
    </w:p>
    <w:p w14:paraId="463E6777" w14:textId="77777777" w:rsidR="001A6EA8" w:rsidRDefault="001A6EA8">
      <w:pPr>
        <w:spacing w:line="560" w:lineRule="exact"/>
        <w:ind w:left="1399" w:hanging="280"/>
        <w:rPr>
          <w:rFonts w:ascii="黑体" w:eastAsia="黑体"/>
          <w:sz w:val="28"/>
          <w:szCs w:val="28"/>
        </w:rPr>
      </w:pPr>
    </w:p>
    <w:p w14:paraId="63142322" w14:textId="77777777" w:rsidR="001A6EA8" w:rsidRDefault="001A6EA8">
      <w:pPr>
        <w:spacing w:line="560" w:lineRule="exact"/>
        <w:rPr>
          <w:rFonts w:ascii="黑体" w:eastAsia="黑体"/>
          <w:sz w:val="28"/>
          <w:szCs w:val="28"/>
        </w:rPr>
      </w:pPr>
    </w:p>
    <w:p w14:paraId="1694C691" w14:textId="77777777" w:rsidR="001A6EA8" w:rsidRDefault="00A5768A">
      <w:pPr>
        <w:spacing w:line="560" w:lineRule="exact"/>
        <w:ind w:firstLine="1120"/>
        <w:rPr>
          <w:rFonts w:eastAsia="黑体"/>
          <w:sz w:val="28"/>
          <w:szCs w:val="28"/>
        </w:rPr>
      </w:pPr>
      <w:r>
        <w:rPr>
          <w:rFonts w:eastAsia="黑体" w:hint="eastAsia"/>
          <w:sz w:val="28"/>
          <w:szCs w:val="28"/>
        </w:rPr>
        <w:t xml:space="preserve">               </w:t>
      </w:r>
    </w:p>
    <w:p w14:paraId="64925BC6" w14:textId="77777777" w:rsidR="001A6EA8" w:rsidRDefault="001A6EA8">
      <w:pPr>
        <w:spacing w:line="560" w:lineRule="exact"/>
        <w:ind w:firstLineChars="1250" w:firstLine="4000"/>
        <w:rPr>
          <w:rFonts w:eastAsia="黑体"/>
          <w:sz w:val="32"/>
          <w:szCs w:val="32"/>
        </w:rPr>
      </w:pPr>
    </w:p>
    <w:p w14:paraId="5DD7B67C" w14:textId="77777777" w:rsidR="001A6EA8" w:rsidRDefault="00A5768A">
      <w:pPr>
        <w:spacing w:line="560" w:lineRule="exact"/>
        <w:jc w:val="center"/>
        <w:rPr>
          <w:rFonts w:eastAsia="黑体"/>
          <w:b/>
          <w:sz w:val="28"/>
          <w:szCs w:val="28"/>
        </w:rPr>
      </w:pPr>
      <w:r>
        <w:rPr>
          <w:rFonts w:ascii="宋体" w:hAnsi="宋体" w:hint="eastAsia"/>
          <w:b/>
          <w:sz w:val="28"/>
          <w:szCs w:val="28"/>
        </w:rPr>
        <w:t>国家计量技术规范起草小组</w:t>
      </w:r>
    </w:p>
    <w:p w14:paraId="3780A10B" w14:textId="07E9A9EA" w:rsidR="001A6EA8" w:rsidRDefault="00A5768A">
      <w:pPr>
        <w:spacing w:line="560" w:lineRule="exact"/>
        <w:jc w:val="center"/>
        <w:rPr>
          <w:rFonts w:ascii="宋体" w:hAnsi="宋体"/>
          <w:b/>
          <w:sz w:val="28"/>
          <w:szCs w:val="28"/>
        </w:rPr>
      </w:pPr>
      <w:r>
        <w:rPr>
          <w:rFonts w:ascii="宋体" w:hAnsi="宋体"/>
          <w:b/>
          <w:sz w:val="28"/>
          <w:szCs w:val="28"/>
        </w:rPr>
        <w:t>202</w:t>
      </w:r>
      <w:r w:rsidR="00DE2E7B">
        <w:rPr>
          <w:rFonts w:ascii="宋体" w:hAnsi="宋体" w:hint="eastAsia"/>
          <w:b/>
          <w:sz w:val="28"/>
          <w:szCs w:val="28"/>
        </w:rPr>
        <w:t>4</w:t>
      </w:r>
      <w:r>
        <w:rPr>
          <w:rFonts w:ascii="宋体" w:hAnsi="宋体"/>
          <w:b/>
          <w:sz w:val="28"/>
          <w:szCs w:val="28"/>
        </w:rPr>
        <w:t>年</w:t>
      </w:r>
      <w:r w:rsidR="00DE2E7B">
        <w:rPr>
          <w:rFonts w:ascii="宋体" w:hAnsi="宋体" w:hint="eastAsia"/>
          <w:b/>
          <w:sz w:val="28"/>
          <w:szCs w:val="28"/>
        </w:rPr>
        <w:t>5</w:t>
      </w:r>
      <w:r>
        <w:rPr>
          <w:rFonts w:ascii="宋体" w:hAnsi="宋体"/>
          <w:b/>
          <w:sz w:val="28"/>
          <w:szCs w:val="28"/>
        </w:rPr>
        <w:t>月</w:t>
      </w:r>
    </w:p>
    <w:p w14:paraId="5CAEEF59" w14:textId="77777777" w:rsidR="001A6EA8" w:rsidRDefault="001A6EA8">
      <w:pPr>
        <w:spacing w:line="560" w:lineRule="exact"/>
        <w:rPr>
          <w:rFonts w:ascii="宋体" w:hAnsi="宋体"/>
          <w:sz w:val="28"/>
          <w:szCs w:val="28"/>
        </w:rPr>
        <w:sectPr w:rsidR="001A6EA8">
          <w:headerReference w:type="even" r:id="rId8"/>
          <w:headerReference w:type="default" r:id="rId9"/>
          <w:footerReference w:type="even" r:id="rId10"/>
          <w:footerReference w:type="default" r:id="rId11"/>
          <w:footerReference w:type="first" r:id="rId12"/>
          <w:pgSz w:w="11906" w:h="16838"/>
          <w:pgMar w:top="1418" w:right="1418" w:bottom="1361" w:left="1440" w:header="851" w:footer="992" w:gutter="0"/>
          <w:pgNumType w:start="1" w:chapStyle="1"/>
          <w:cols w:space="425"/>
          <w:titlePg/>
          <w:docGrid w:type="lines" w:linePitch="468"/>
        </w:sectPr>
      </w:pPr>
      <w:bookmarkStart w:id="0" w:name="_GoBack"/>
      <w:bookmarkEnd w:id="0"/>
    </w:p>
    <w:p w14:paraId="3E2106B1" w14:textId="77777777" w:rsidR="001A6EA8" w:rsidRDefault="00A5768A">
      <w:pPr>
        <w:jc w:val="center"/>
        <w:rPr>
          <w:rFonts w:ascii="宋体" w:hAnsi="宋体"/>
          <w:b/>
          <w:sz w:val="24"/>
        </w:rPr>
      </w:pPr>
      <w:r>
        <w:rPr>
          <w:rFonts w:ascii="宋体" w:hAnsi="宋体" w:hint="eastAsia"/>
          <w:b/>
          <w:sz w:val="24"/>
        </w:rPr>
        <w:lastRenderedPageBreak/>
        <w:t>J</w:t>
      </w:r>
      <w:r>
        <w:rPr>
          <w:rFonts w:ascii="宋体" w:hAnsi="宋体"/>
          <w:b/>
          <w:sz w:val="24"/>
        </w:rPr>
        <w:t>JF</w:t>
      </w:r>
      <w:r>
        <w:rPr>
          <w:rFonts w:ascii="宋体" w:hAnsi="宋体" w:hint="eastAsia"/>
          <w:b/>
          <w:sz w:val="24"/>
        </w:rPr>
        <w:t>《计量器具检定周期确定原则和方法》</w:t>
      </w:r>
    </w:p>
    <w:p w14:paraId="140A9A95" w14:textId="77777777" w:rsidR="001A6EA8" w:rsidRDefault="00A5768A">
      <w:pPr>
        <w:jc w:val="center"/>
        <w:rPr>
          <w:rFonts w:ascii="宋体" w:hAnsi="宋体"/>
          <w:b/>
          <w:sz w:val="24"/>
        </w:rPr>
      </w:pPr>
      <w:r>
        <w:rPr>
          <w:rFonts w:ascii="宋体" w:hAnsi="宋体" w:hint="eastAsia"/>
          <w:b/>
          <w:sz w:val="24"/>
        </w:rPr>
        <w:t>国家计量技术规范起草编写说明</w:t>
      </w:r>
    </w:p>
    <w:p w14:paraId="75D8F747" w14:textId="77777777" w:rsidR="001A6EA8" w:rsidRDefault="001A6EA8">
      <w:pPr>
        <w:jc w:val="center"/>
        <w:rPr>
          <w:rFonts w:ascii="宋体" w:hAnsi="宋体"/>
          <w:b/>
          <w:sz w:val="24"/>
        </w:rPr>
      </w:pPr>
    </w:p>
    <w:p w14:paraId="1F9364FE" w14:textId="77777777" w:rsidR="001A6EA8" w:rsidRDefault="00A5768A">
      <w:pPr>
        <w:numPr>
          <w:ilvl w:val="0"/>
          <w:numId w:val="1"/>
        </w:numPr>
        <w:rPr>
          <w:sz w:val="24"/>
        </w:rPr>
      </w:pPr>
      <w:r>
        <w:rPr>
          <w:rFonts w:hint="eastAsia"/>
          <w:sz w:val="24"/>
        </w:rPr>
        <w:t>任务来源</w:t>
      </w:r>
    </w:p>
    <w:p w14:paraId="74962409" w14:textId="77777777" w:rsidR="001A6EA8" w:rsidRDefault="00A5768A">
      <w:pPr>
        <w:ind w:firstLineChars="200" w:firstLine="480"/>
        <w:rPr>
          <w:rFonts w:ascii="宋体" w:hAnsi="宋体"/>
          <w:sz w:val="24"/>
        </w:rPr>
      </w:pPr>
      <w:r>
        <w:rPr>
          <w:rFonts w:ascii="宋体" w:hAnsi="宋体" w:hint="eastAsia"/>
          <w:sz w:val="24"/>
        </w:rPr>
        <w:t>2021</w:t>
      </w:r>
      <w:r>
        <w:rPr>
          <w:rFonts w:ascii="宋体" w:hAnsi="宋体" w:hint="eastAsia"/>
          <w:sz w:val="24"/>
        </w:rPr>
        <w:t>年</w:t>
      </w:r>
      <w:r>
        <w:rPr>
          <w:rFonts w:ascii="宋体" w:hAnsi="宋体" w:hint="eastAsia"/>
          <w:sz w:val="24"/>
        </w:rPr>
        <w:t>2</w:t>
      </w:r>
      <w:r>
        <w:rPr>
          <w:rFonts w:ascii="宋体" w:hAnsi="宋体" w:hint="eastAsia"/>
          <w:sz w:val="24"/>
        </w:rPr>
        <w:t>月国家市场监督管理总局</w:t>
      </w:r>
      <w:proofErr w:type="gramStart"/>
      <w:r>
        <w:rPr>
          <w:rFonts w:ascii="宋体" w:hAnsi="宋体" w:hint="eastAsia"/>
          <w:sz w:val="24"/>
        </w:rPr>
        <w:t>办公厅市监计量</w:t>
      </w:r>
      <w:proofErr w:type="gramEnd"/>
      <w:r>
        <w:rPr>
          <w:rFonts w:ascii="宋体" w:hAnsi="宋体" w:hint="eastAsia"/>
          <w:sz w:val="24"/>
        </w:rPr>
        <w:t>（</w:t>
      </w:r>
      <w:r>
        <w:rPr>
          <w:rFonts w:ascii="宋体" w:hAnsi="宋体" w:hint="eastAsia"/>
          <w:sz w:val="24"/>
        </w:rPr>
        <w:t>2021</w:t>
      </w:r>
      <w:r>
        <w:rPr>
          <w:rFonts w:ascii="宋体" w:hAnsi="宋体" w:hint="eastAsia"/>
          <w:sz w:val="24"/>
        </w:rPr>
        <w:t>）</w:t>
      </w:r>
      <w:r>
        <w:rPr>
          <w:rFonts w:ascii="宋体" w:hAnsi="宋体" w:hint="eastAsia"/>
          <w:sz w:val="24"/>
        </w:rPr>
        <w:t>237</w:t>
      </w:r>
      <w:r>
        <w:rPr>
          <w:rFonts w:ascii="宋体" w:hAnsi="宋体" w:hint="eastAsia"/>
          <w:sz w:val="24"/>
        </w:rPr>
        <w:t>号文件《市场监管总局办公厅关于追加</w:t>
      </w:r>
      <w:r>
        <w:rPr>
          <w:rFonts w:ascii="宋体" w:hAnsi="宋体" w:hint="eastAsia"/>
          <w:sz w:val="24"/>
        </w:rPr>
        <w:t>2020</w:t>
      </w:r>
      <w:r>
        <w:rPr>
          <w:rFonts w:ascii="宋体" w:hAnsi="宋体" w:hint="eastAsia"/>
          <w:sz w:val="24"/>
        </w:rPr>
        <w:t>年国家计量技术规范制修订项目的通知》，修订</w:t>
      </w:r>
      <w:r>
        <w:rPr>
          <w:rFonts w:ascii="宋体" w:hAnsi="宋体" w:hint="eastAsia"/>
          <w:sz w:val="24"/>
        </w:rPr>
        <w:t>JJF1139</w:t>
      </w:r>
      <w:r>
        <w:rPr>
          <w:rFonts w:ascii="宋体" w:hAnsi="宋体" w:hint="eastAsia"/>
          <w:sz w:val="24"/>
        </w:rPr>
        <w:t>《计量器具检定周期确定原则和方法》国家计量技术规范任务下达到全国法制计量管理计量技术委员会。同时，全国法制计量管理计量技术委员会秘书处对主要起草单位下达了关于委托起草国家计量技术规范的函。</w:t>
      </w:r>
    </w:p>
    <w:p w14:paraId="3EF15D36" w14:textId="77777777" w:rsidR="001A6EA8" w:rsidRDefault="00A5768A">
      <w:pPr>
        <w:ind w:firstLineChars="200" w:firstLine="480"/>
        <w:rPr>
          <w:rFonts w:ascii="宋体" w:hAnsi="宋体"/>
          <w:sz w:val="24"/>
        </w:rPr>
      </w:pPr>
      <w:r>
        <w:rPr>
          <w:rFonts w:ascii="宋体" w:hAnsi="宋体" w:hint="eastAsia"/>
          <w:sz w:val="24"/>
        </w:rPr>
        <w:t>起草组于</w:t>
      </w:r>
      <w:r>
        <w:rPr>
          <w:rFonts w:ascii="宋体" w:hAnsi="宋体" w:hint="eastAsia"/>
          <w:sz w:val="24"/>
        </w:rPr>
        <w:t>2021</w:t>
      </w:r>
      <w:r>
        <w:rPr>
          <w:rFonts w:ascii="宋体" w:hAnsi="宋体" w:hint="eastAsia"/>
          <w:sz w:val="24"/>
        </w:rPr>
        <w:t>年</w:t>
      </w:r>
      <w:r>
        <w:rPr>
          <w:rFonts w:ascii="宋体" w:hAnsi="宋体" w:hint="eastAsia"/>
          <w:sz w:val="24"/>
        </w:rPr>
        <w:t>3</w:t>
      </w:r>
      <w:r>
        <w:rPr>
          <w:rFonts w:ascii="宋体" w:hAnsi="宋体" w:hint="eastAsia"/>
          <w:sz w:val="24"/>
        </w:rPr>
        <w:t>月开始启动国家计量技术规范制修订工作，按照《国家计量技术规范管理办法》，严格按照</w:t>
      </w:r>
      <w:r>
        <w:rPr>
          <w:rFonts w:ascii="宋体" w:hAnsi="宋体" w:hint="eastAsia"/>
          <w:sz w:val="24"/>
        </w:rPr>
        <w:t>JJF1001</w:t>
      </w:r>
      <w:r>
        <w:rPr>
          <w:rFonts w:ascii="宋体" w:hAnsi="宋体" w:hint="eastAsia"/>
          <w:sz w:val="24"/>
        </w:rPr>
        <w:t>等文件的要求，对</w:t>
      </w:r>
      <w:r>
        <w:rPr>
          <w:rFonts w:ascii="宋体" w:hAnsi="宋体" w:hint="eastAsia"/>
          <w:sz w:val="24"/>
        </w:rPr>
        <w:t>JJF1139-2005</w:t>
      </w:r>
      <w:r>
        <w:rPr>
          <w:rFonts w:ascii="宋体" w:hAnsi="宋体" w:hint="eastAsia"/>
          <w:sz w:val="24"/>
        </w:rPr>
        <w:t>《计量器具检定周期确定原则和方法》进行修订，确保技术规范制修订项目按时保质完成。</w:t>
      </w:r>
    </w:p>
    <w:p w14:paraId="4C91C8D8" w14:textId="77777777" w:rsidR="001A6EA8" w:rsidRDefault="001A6EA8">
      <w:pPr>
        <w:rPr>
          <w:sz w:val="24"/>
        </w:rPr>
      </w:pPr>
    </w:p>
    <w:p w14:paraId="0FD2D359" w14:textId="77777777" w:rsidR="001A6EA8" w:rsidRDefault="00A5768A">
      <w:pPr>
        <w:numPr>
          <w:ilvl w:val="0"/>
          <w:numId w:val="1"/>
        </w:numPr>
        <w:rPr>
          <w:sz w:val="24"/>
        </w:rPr>
      </w:pPr>
      <w:r>
        <w:rPr>
          <w:sz w:val="24"/>
        </w:rPr>
        <w:t>立项必要性</w:t>
      </w:r>
    </w:p>
    <w:p w14:paraId="2602BEBF" w14:textId="77777777" w:rsidR="001A6EA8" w:rsidRDefault="00A5768A">
      <w:pPr>
        <w:ind w:firstLineChars="200" w:firstLine="480"/>
        <w:rPr>
          <w:rFonts w:ascii="宋体" w:hAnsi="宋体"/>
          <w:sz w:val="24"/>
          <w:shd w:val="clear" w:color="auto" w:fill="FFFFFF"/>
        </w:rPr>
      </w:pPr>
      <w:r>
        <w:rPr>
          <w:rFonts w:ascii="宋体" w:hAnsi="宋体" w:hint="eastAsia"/>
          <w:sz w:val="24"/>
          <w:shd w:val="clear" w:color="auto" w:fill="FFFFFF"/>
        </w:rPr>
        <w:t>计量器具溯源作为计量标准的重要组成部分，在国家量值传递和溯源体系中具有重要作用。在计量标准的考核要求中，溯源性是重要的一项，</w:t>
      </w:r>
      <w:r>
        <w:rPr>
          <w:rFonts w:ascii="宋体" w:hAnsi="宋体" w:hint="eastAsia"/>
          <w:sz w:val="24"/>
          <w:shd w:val="clear" w:color="auto" w:fill="FFFFFF"/>
        </w:rPr>
        <w:t>JJF1033-2016</w:t>
      </w:r>
      <w:r>
        <w:rPr>
          <w:rFonts w:ascii="宋体" w:hAnsi="宋体" w:hint="eastAsia"/>
          <w:sz w:val="24"/>
          <w:shd w:val="clear" w:color="auto" w:fill="FFFFFF"/>
        </w:rPr>
        <w:t>《计量标准考核规范》中对其有明确要求：“计量标准器及主要配套设备均应当有连续、有效的检定或校准证书。”按照考核规范</w:t>
      </w:r>
      <w:r>
        <w:rPr>
          <w:rFonts w:ascii="宋体" w:hAnsi="宋体" w:hint="eastAsia"/>
          <w:sz w:val="24"/>
          <w:shd w:val="clear" w:color="auto" w:fill="FFFFFF"/>
        </w:rPr>
        <w:t>的要求，计量标准器应进行定点定期的检定或校准来保证溯源性。具体该如何“定期</w:t>
      </w:r>
      <w:r>
        <w:rPr>
          <w:rFonts w:ascii="宋体" w:hAnsi="宋体"/>
          <w:sz w:val="24"/>
          <w:shd w:val="clear" w:color="auto" w:fill="FFFFFF"/>
        </w:rPr>
        <w:t>”</w:t>
      </w:r>
      <w:r>
        <w:rPr>
          <w:rFonts w:ascii="宋体" w:hAnsi="宋体" w:hint="eastAsia"/>
          <w:sz w:val="24"/>
          <w:shd w:val="clear" w:color="auto" w:fill="FFFFFF"/>
        </w:rPr>
        <w:t>？有以下几种情况：通过检定方式溯源的，检定周期不应超过计量检定规程的要求；通过校准方式溯源的，复校时间间隔不应超过校准规范的规定；没有检定规程且校准规范没有明确规定复校间隔的，按校准机构给出的复校时间间隔；如果校准机构也没有给出建议，可按照</w:t>
      </w:r>
      <w:r>
        <w:rPr>
          <w:rFonts w:ascii="宋体" w:hAnsi="宋体" w:hint="eastAsia"/>
          <w:sz w:val="24"/>
          <w:shd w:val="clear" w:color="auto" w:fill="FFFFFF"/>
        </w:rPr>
        <w:t>JJF 1139</w:t>
      </w:r>
      <w:r>
        <w:rPr>
          <w:rFonts w:ascii="宋体" w:hAnsi="宋体" w:hint="eastAsia"/>
          <w:sz w:val="24"/>
          <w:shd w:val="clear" w:color="auto" w:fill="FFFFFF"/>
        </w:rPr>
        <w:t>《计量器具检定周期确定原则和方法》自行合理制定。</w:t>
      </w:r>
      <w:r>
        <w:rPr>
          <w:rFonts w:ascii="宋体" w:hAnsi="宋体" w:hint="eastAsia"/>
          <w:sz w:val="24"/>
          <w:shd w:val="clear" w:color="auto" w:fill="FFFFFF"/>
        </w:rPr>
        <w:t>JJF 1139</w:t>
      </w:r>
      <w:r>
        <w:rPr>
          <w:rFonts w:ascii="宋体" w:hAnsi="宋体" w:hint="eastAsia"/>
          <w:sz w:val="24"/>
          <w:shd w:val="clear" w:color="auto" w:fill="FFFFFF"/>
        </w:rPr>
        <w:t>规范的作用不仅仅是为没有检定规程、校准规范和校准间隔建议的计量器具制定复校间隔，更是计量技术人员在制定检定规程和校准</w:t>
      </w:r>
      <w:r>
        <w:rPr>
          <w:rFonts w:ascii="宋体" w:hAnsi="宋体" w:hint="eastAsia"/>
          <w:sz w:val="24"/>
          <w:shd w:val="clear" w:color="auto" w:fill="FFFFFF"/>
        </w:rPr>
        <w:t>规范时确定检定周期和校准间隔的重要技术依据。</w:t>
      </w:r>
    </w:p>
    <w:p w14:paraId="525C6ED1" w14:textId="77777777" w:rsidR="001A6EA8" w:rsidRDefault="00A5768A">
      <w:pPr>
        <w:ind w:firstLineChars="200" w:firstLine="480"/>
        <w:rPr>
          <w:rFonts w:hAnsi="宋体"/>
          <w:sz w:val="24"/>
        </w:rPr>
      </w:pPr>
      <w:r>
        <w:rPr>
          <w:rFonts w:ascii="宋体" w:hAnsi="宋体" w:hint="eastAsia"/>
          <w:sz w:val="24"/>
        </w:rPr>
        <w:t>由于计量器具种类繁多，使用情况千差万别，计量器具检定周期的确定需要综合考虑多方面因素，如准确度要求、稳定性、环境条件、使用频率次数、维护保养等。若不进行分析研究而简单地按照习惯将检定周期定为</w:t>
      </w:r>
      <w:r>
        <w:rPr>
          <w:rFonts w:ascii="宋体" w:hAnsi="宋体" w:hint="eastAsia"/>
          <w:sz w:val="24"/>
        </w:rPr>
        <w:t>1</w:t>
      </w:r>
      <w:r>
        <w:rPr>
          <w:rFonts w:ascii="宋体" w:hAnsi="宋体" w:hint="eastAsia"/>
          <w:sz w:val="24"/>
        </w:rPr>
        <w:t>年或</w:t>
      </w:r>
      <w:r>
        <w:rPr>
          <w:rFonts w:ascii="宋体" w:hAnsi="宋体" w:hint="eastAsia"/>
          <w:sz w:val="24"/>
        </w:rPr>
        <w:t>2</w:t>
      </w:r>
      <w:r>
        <w:rPr>
          <w:rFonts w:ascii="宋体" w:hAnsi="宋体" w:hint="eastAsia"/>
          <w:sz w:val="24"/>
        </w:rPr>
        <w:t>年，或不加区分使用了不合适甚至错误的周期确定方法，则给出的检定周期将很难保证计量器具在使用时量值的准确</w:t>
      </w:r>
      <w:r>
        <w:rPr>
          <w:rFonts w:ascii="宋体" w:hAnsi="宋体" w:hint="eastAsia"/>
          <w:sz w:val="24"/>
        </w:rPr>
        <w:lastRenderedPageBreak/>
        <w:t>可靠。因此，按照统一的原则和科学的方法，准确有效地制定计量器具的检定周期是非常必要的。</w:t>
      </w:r>
    </w:p>
    <w:p w14:paraId="3F142211" w14:textId="0AD77FAD" w:rsidR="001A6EA8" w:rsidRDefault="00A5768A">
      <w:pPr>
        <w:ind w:firstLineChars="200" w:firstLine="480"/>
        <w:rPr>
          <w:rFonts w:hAnsi="宋体"/>
          <w:sz w:val="24"/>
        </w:rPr>
      </w:pPr>
      <w:r>
        <w:rPr>
          <w:rFonts w:ascii="宋体" w:hAnsi="宋体" w:hint="eastAsia"/>
          <w:sz w:val="24"/>
          <w:shd w:val="clear" w:color="auto" w:fill="FFFFFF"/>
        </w:rPr>
        <w:t>JJF 1139-2005</w:t>
      </w:r>
      <w:r>
        <w:rPr>
          <w:rFonts w:ascii="宋体" w:hAnsi="宋体" w:hint="eastAsia"/>
          <w:sz w:val="24"/>
          <w:shd w:val="clear" w:color="auto" w:fill="FFFFFF"/>
        </w:rPr>
        <w:t>《计量器具检定周期确定原则和方法》为</w:t>
      </w:r>
      <w:r>
        <w:rPr>
          <w:rFonts w:ascii="宋体" w:hAnsi="宋体" w:hint="eastAsia"/>
          <w:sz w:val="24"/>
          <w:shd w:val="clear" w:color="auto" w:fill="FFFFFF"/>
        </w:rPr>
        <w:t>2005</w:t>
      </w:r>
      <w:r>
        <w:rPr>
          <w:rFonts w:ascii="宋体" w:hAnsi="宋体" w:hint="eastAsia"/>
          <w:sz w:val="24"/>
          <w:shd w:val="clear" w:color="auto" w:fill="FFFFFF"/>
        </w:rPr>
        <w:t>年</w:t>
      </w:r>
      <w:r>
        <w:rPr>
          <w:rFonts w:ascii="宋体" w:hAnsi="宋体" w:hint="eastAsia"/>
          <w:sz w:val="24"/>
          <w:shd w:val="clear" w:color="auto" w:fill="FFFFFF"/>
        </w:rPr>
        <w:t>12</w:t>
      </w:r>
      <w:r>
        <w:rPr>
          <w:rFonts w:ascii="宋体" w:hAnsi="宋体" w:hint="eastAsia"/>
          <w:sz w:val="24"/>
          <w:shd w:val="clear" w:color="auto" w:fill="FFFFFF"/>
        </w:rPr>
        <w:t>月</w:t>
      </w:r>
      <w:r>
        <w:rPr>
          <w:rFonts w:ascii="宋体" w:hAnsi="宋体" w:hint="eastAsia"/>
          <w:sz w:val="24"/>
          <w:shd w:val="clear" w:color="auto" w:fill="FFFFFF"/>
        </w:rPr>
        <w:t>发布，</w:t>
      </w:r>
      <w:r>
        <w:rPr>
          <w:rFonts w:ascii="宋体" w:hAnsi="宋体" w:hint="eastAsia"/>
          <w:sz w:val="24"/>
          <w:shd w:val="clear" w:color="auto" w:fill="FFFFFF"/>
        </w:rPr>
        <w:t>2006</w:t>
      </w:r>
      <w:r>
        <w:rPr>
          <w:rFonts w:ascii="宋体" w:hAnsi="宋体" w:hint="eastAsia"/>
          <w:sz w:val="24"/>
          <w:shd w:val="clear" w:color="auto" w:fill="FFFFFF"/>
        </w:rPr>
        <w:t>年</w:t>
      </w:r>
      <w:r>
        <w:rPr>
          <w:rFonts w:ascii="宋体" w:hAnsi="宋体" w:hint="eastAsia"/>
          <w:sz w:val="24"/>
          <w:shd w:val="clear" w:color="auto" w:fill="FFFFFF"/>
        </w:rPr>
        <w:t>3</w:t>
      </w:r>
      <w:r>
        <w:rPr>
          <w:rFonts w:ascii="宋体" w:hAnsi="宋体" w:hint="eastAsia"/>
          <w:sz w:val="24"/>
          <w:shd w:val="clear" w:color="auto" w:fill="FFFFFF"/>
        </w:rPr>
        <w:t>月实施，到目前已有</w:t>
      </w:r>
      <w:r>
        <w:rPr>
          <w:rFonts w:ascii="宋体" w:hAnsi="宋体" w:hint="eastAsia"/>
          <w:sz w:val="24"/>
          <w:shd w:val="clear" w:color="auto" w:fill="FFFFFF"/>
        </w:rPr>
        <w:t>15</w:t>
      </w:r>
      <w:r>
        <w:rPr>
          <w:rFonts w:ascii="宋体" w:hAnsi="宋体" w:hint="eastAsia"/>
          <w:sz w:val="24"/>
          <w:shd w:val="clear" w:color="auto" w:fill="FFFFFF"/>
        </w:rPr>
        <w:t>年时间。该规范的</w:t>
      </w:r>
      <w:r>
        <w:rPr>
          <w:rFonts w:ascii="宋体" w:hAnsi="宋体" w:cs="宋体" w:hint="eastAsia"/>
          <w:sz w:val="24"/>
        </w:rPr>
        <w:t>引用文献中，</w:t>
      </w:r>
      <w:r>
        <w:rPr>
          <w:rFonts w:hAnsi="宋体"/>
          <w:sz w:val="24"/>
        </w:rPr>
        <w:t>JJF 1001-1998</w:t>
      </w:r>
      <w:r>
        <w:rPr>
          <w:rFonts w:ascii="宋体" w:hAnsi="宋体" w:cs="宋体"/>
          <w:sz w:val="24"/>
          <w:lang w:val="zh-TW" w:bidi="zh-TW"/>
        </w:rPr>
        <w:t>《通用计量术语及定义》</w:t>
      </w:r>
      <w:r>
        <w:rPr>
          <w:rFonts w:hAnsi="宋体"/>
          <w:sz w:val="24"/>
        </w:rPr>
        <w:t>、</w:t>
      </w:r>
      <w:r>
        <w:rPr>
          <w:rFonts w:hAnsi="宋体"/>
          <w:sz w:val="24"/>
        </w:rPr>
        <w:t>JJF 1033-2001</w:t>
      </w:r>
      <w:r>
        <w:rPr>
          <w:rFonts w:ascii="宋体" w:hAnsi="宋体" w:cs="宋体"/>
          <w:sz w:val="24"/>
          <w:lang w:val="zh-TW" w:bidi="zh-TW"/>
        </w:rPr>
        <w:t>《计量标准考核规范》</w:t>
      </w:r>
      <w:r>
        <w:rPr>
          <w:rFonts w:hAnsi="宋体" w:hint="eastAsia"/>
          <w:sz w:val="24"/>
        </w:rPr>
        <w:t>和</w:t>
      </w:r>
      <w:r>
        <w:rPr>
          <w:rFonts w:hAnsi="宋体"/>
          <w:sz w:val="24"/>
        </w:rPr>
        <w:t>JJF 1071-2000</w:t>
      </w:r>
      <w:r>
        <w:rPr>
          <w:rFonts w:hAnsi="宋体" w:hint="eastAsia"/>
          <w:sz w:val="24"/>
        </w:rPr>
        <w:t>《国家计量校准规范编写规则》</w:t>
      </w:r>
      <w:r>
        <w:rPr>
          <w:rFonts w:hAnsi="宋体"/>
          <w:sz w:val="24"/>
        </w:rPr>
        <w:t>目前已分别</w:t>
      </w:r>
      <w:r>
        <w:rPr>
          <w:rFonts w:ascii="宋体" w:hAnsi="宋体" w:cs="宋体" w:hint="eastAsia"/>
          <w:sz w:val="24"/>
        </w:rPr>
        <w:t>更新版本为</w:t>
      </w:r>
      <w:r>
        <w:rPr>
          <w:rFonts w:hAnsi="宋体"/>
          <w:sz w:val="24"/>
        </w:rPr>
        <w:t>JJF 1001-2011</w:t>
      </w:r>
      <w:r>
        <w:rPr>
          <w:rFonts w:hAnsi="宋体"/>
          <w:sz w:val="24"/>
        </w:rPr>
        <w:t>、</w:t>
      </w:r>
      <w:r>
        <w:rPr>
          <w:rFonts w:hAnsi="宋体"/>
          <w:sz w:val="24"/>
        </w:rPr>
        <w:t>JJF 1033-2016</w:t>
      </w:r>
      <w:r>
        <w:rPr>
          <w:rFonts w:hAnsi="宋体"/>
          <w:sz w:val="24"/>
        </w:rPr>
        <w:t>、</w:t>
      </w:r>
      <w:r>
        <w:rPr>
          <w:rFonts w:hAnsi="宋体"/>
          <w:sz w:val="24"/>
        </w:rPr>
        <w:t>JJF 1071-2010</w:t>
      </w:r>
      <w:r>
        <w:rPr>
          <w:rFonts w:hAnsi="宋体" w:hint="eastAsia"/>
          <w:sz w:val="24"/>
        </w:rPr>
        <w:t>；</w:t>
      </w:r>
      <w:r>
        <w:rPr>
          <w:rFonts w:hAnsi="宋体" w:hint="eastAsia"/>
          <w:sz w:val="24"/>
        </w:rPr>
        <w:t>NCSL RP-1</w:t>
      </w:r>
      <w:r>
        <w:rPr>
          <w:rFonts w:hAnsi="宋体" w:hint="eastAsia"/>
          <w:sz w:val="24"/>
        </w:rPr>
        <w:t>：</w:t>
      </w:r>
      <w:r>
        <w:rPr>
          <w:rFonts w:hAnsi="宋体" w:hint="eastAsia"/>
          <w:sz w:val="24"/>
        </w:rPr>
        <w:t xml:space="preserve">2010 </w:t>
      </w:r>
      <w:r>
        <w:rPr>
          <w:rFonts w:hAnsi="宋体" w:hint="eastAsia"/>
          <w:sz w:val="24"/>
        </w:rPr>
        <w:t>校准间隔的确定和调整（</w:t>
      </w:r>
      <w:r>
        <w:rPr>
          <w:rFonts w:hAnsi="宋体" w:hint="eastAsia"/>
          <w:sz w:val="24"/>
        </w:rPr>
        <w:t>Establishment and Adjustment of Calibration Intervals</w:t>
      </w:r>
      <w:r>
        <w:rPr>
          <w:rFonts w:hAnsi="宋体" w:hint="eastAsia"/>
          <w:sz w:val="24"/>
        </w:rPr>
        <w:t>）</w:t>
      </w:r>
      <w:r>
        <w:rPr>
          <w:rFonts w:hAnsi="宋体"/>
          <w:sz w:val="24"/>
        </w:rPr>
        <w:t>，</w:t>
      </w:r>
      <w:r>
        <w:rPr>
          <w:rFonts w:hAnsi="宋体" w:hint="eastAsia"/>
          <w:sz w:val="24"/>
        </w:rPr>
        <w:t>OIML D10</w:t>
      </w:r>
      <w:r>
        <w:rPr>
          <w:rFonts w:hAnsi="宋体" w:hint="eastAsia"/>
          <w:sz w:val="24"/>
        </w:rPr>
        <w:t>：</w:t>
      </w:r>
      <w:r>
        <w:rPr>
          <w:rFonts w:hAnsi="宋体" w:hint="eastAsia"/>
          <w:sz w:val="24"/>
        </w:rPr>
        <w:t>202</w:t>
      </w:r>
      <w:r w:rsidR="00A55726">
        <w:rPr>
          <w:rFonts w:hAnsi="宋体"/>
          <w:sz w:val="24"/>
        </w:rPr>
        <w:t>2</w:t>
      </w:r>
      <w:r>
        <w:rPr>
          <w:rFonts w:hAnsi="宋体" w:hint="eastAsia"/>
          <w:sz w:val="24"/>
        </w:rPr>
        <w:t xml:space="preserve"> </w:t>
      </w:r>
      <w:r>
        <w:rPr>
          <w:rFonts w:hAnsi="宋体" w:hint="eastAsia"/>
          <w:sz w:val="24"/>
        </w:rPr>
        <w:t>测量设备校准间隔的确定导则（</w:t>
      </w:r>
      <w:r>
        <w:rPr>
          <w:rFonts w:hAnsi="宋体" w:hint="eastAsia"/>
          <w:sz w:val="24"/>
        </w:rPr>
        <w:t>Guidelines for the determination of recalibration intervals of measuring equipment</w:t>
      </w:r>
      <w:r>
        <w:rPr>
          <w:rFonts w:hAnsi="宋体" w:hint="eastAsia"/>
          <w:sz w:val="24"/>
        </w:rPr>
        <w:t>）</w:t>
      </w:r>
      <w:r>
        <w:rPr>
          <w:rFonts w:ascii="宋体" w:hAnsi="宋体" w:hint="eastAsia"/>
          <w:sz w:val="24"/>
        </w:rPr>
        <w:t>；</w:t>
      </w:r>
      <w:r>
        <w:rPr>
          <w:rFonts w:hAnsi="宋体"/>
          <w:sz w:val="24"/>
        </w:rPr>
        <w:t>NCSL RP-1</w:t>
      </w:r>
      <w:r>
        <w:rPr>
          <w:rFonts w:ascii="宋体" w:hAnsi="宋体" w:hint="eastAsia"/>
          <w:sz w:val="24"/>
        </w:rPr>
        <w:t>目前能查询到的最新版本为</w:t>
      </w:r>
      <w:r>
        <w:rPr>
          <w:rFonts w:ascii="宋体" w:hAnsi="宋体" w:hint="eastAsia"/>
          <w:sz w:val="24"/>
        </w:rPr>
        <w:t>2010</w:t>
      </w:r>
      <w:r>
        <w:rPr>
          <w:rFonts w:ascii="宋体" w:hAnsi="宋体" w:hint="eastAsia"/>
          <w:sz w:val="24"/>
        </w:rPr>
        <w:t>年</w:t>
      </w:r>
      <w:r>
        <w:rPr>
          <w:rFonts w:ascii="宋体" w:hAnsi="宋体" w:hint="eastAsia"/>
          <w:sz w:val="24"/>
        </w:rPr>
        <w:t>4</w:t>
      </w:r>
      <w:r>
        <w:rPr>
          <w:rFonts w:ascii="宋体" w:hAnsi="宋体" w:hint="eastAsia"/>
          <w:sz w:val="24"/>
        </w:rPr>
        <w:t>月的第四版。</w:t>
      </w:r>
      <w:r>
        <w:rPr>
          <w:rFonts w:hAnsi="宋体" w:hint="eastAsia"/>
          <w:sz w:val="24"/>
        </w:rPr>
        <w:t>以</w:t>
      </w:r>
      <w:r>
        <w:rPr>
          <w:rFonts w:ascii="宋体" w:hAnsi="宋体" w:cs="宋体" w:hint="eastAsia"/>
          <w:sz w:val="24"/>
          <w:lang w:val="zh-TW" w:bidi="zh-TW"/>
        </w:rPr>
        <w:t>上技术文件的最新版本与旧版本均有较大变化。如国内技术规范</w:t>
      </w:r>
      <w:r>
        <w:rPr>
          <w:rFonts w:ascii="宋体" w:hAnsi="宋体" w:cs="宋体"/>
          <w:sz w:val="24"/>
          <w:lang w:val="zh-TW" w:bidi="zh-TW"/>
        </w:rPr>
        <w:t>JJF 1001-2011</w:t>
      </w:r>
      <w:r>
        <w:rPr>
          <w:rFonts w:ascii="宋体" w:hAnsi="宋体" w:cs="宋体" w:hint="eastAsia"/>
          <w:sz w:val="24"/>
          <w:lang w:val="zh-TW" w:bidi="zh-TW"/>
        </w:rPr>
        <w:t>中许多计量名词术语已更新，与最新国际标准保持一致；</w:t>
      </w:r>
      <w:r>
        <w:rPr>
          <w:rFonts w:ascii="宋体" w:hAnsi="宋体" w:cs="宋体"/>
          <w:sz w:val="24"/>
          <w:lang w:val="zh-TW" w:bidi="zh-TW"/>
        </w:rPr>
        <w:t>JJF 1033-2016</w:t>
      </w:r>
      <w:r>
        <w:rPr>
          <w:rFonts w:ascii="宋体" w:hAnsi="宋体" w:cs="宋体" w:hint="eastAsia"/>
          <w:sz w:val="24"/>
          <w:lang w:val="zh-TW" w:bidi="zh-TW"/>
        </w:rPr>
        <w:t>根据近年来计量标准考核的实践经验和发展需要对计量标准考核要求做了许多调整</w:t>
      </w:r>
      <w:r>
        <w:rPr>
          <w:rFonts w:hAnsi="宋体" w:hint="eastAsia"/>
          <w:sz w:val="24"/>
        </w:rPr>
        <w:t>；而</w:t>
      </w:r>
      <w:r>
        <w:rPr>
          <w:rFonts w:ascii="宋体" w:hAnsi="宋体" w:hint="eastAsia"/>
          <w:sz w:val="24"/>
          <w:shd w:val="clear" w:color="auto" w:fill="FFFFFF"/>
        </w:rPr>
        <w:t>国际文件</w:t>
      </w:r>
      <w:r>
        <w:rPr>
          <w:rFonts w:hAnsi="宋体"/>
          <w:sz w:val="24"/>
        </w:rPr>
        <w:t>OI</w:t>
      </w:r>
      <w:r>
        <w:rPr>
          <w:rFonts w:hAnsi="宋体"/>
          <w:sz w:val="24"/>
        </w:rPr>
        <w:t>ML</w:t>
      </w:r>
      <w:r>
        <w:rPr>
          <w:rFonts w:hAnsi="宋体" w:hint="eastAsia"/>
          <w:sz w:val="24"/>
        </w:rPr>
        <w:t xml:space="preserve"> </w:t>
      </w:r>
      <w:r>
        <w:rPr>
          <w:rFonts w:hAnsi="宋体"/>
          <w:sz w:val="24"/>
        </w:rPr>
        <w:t>D10</w:t>
      </w:r>
      <w:r>
        <w:rPr>
          <w:rFonts w:ascii="宋体" w:hAnsi="宋体" w:hint="eastAsia"/>
          <w:sz w:val="24"/>
        </w:rPr>
        <w:t>在基本要求、校准间隔的后续调整方法等章节内容均有较大变化；</w:t>
      </w:r>
      <w:r>
        <w:rPr>
          <w:rFonts w:hAnsi="宋体"/>
          <w:sz w:val="24"/>
        </w:rPr>
        <w:t>NCSL RP-1</w:t>
      </w:r>
      <w:r>
        <w:rPr>
          <w:rFonts w:hAnsi="宋体" w:hint="eastAsia"/>
          <w:sz w:val="24"/>
        </w:rPr>
        <w:t>的第四版中完善了周期确定方法的类型，特别是反应法和最大似然估计法的介绍更加细化，对不同方法中的具体算法也有所改进。</w:t>
      </w:r>
    </w:p>
    <w:p w14:paraId="026BAD5D" w14:textId="77777777" w:rsidR="001A6EA8" w:rsidRDefault="00A5768A">
      <w:pPr>
        <w:ind w:firstLineChars="200" w:firstLine="480"/>
        <w:rPr>
          <w:rFonts w:ascii="宋体" w:hAnsi="宋体"/>
          <w:sz w:val="24"/>
          <w:shd w:val="clear" w:color="auto" w:fill="FFFFFF"/>
        </w:rPr>
      </w:pPr>
      <w:r>
        <w:rPr>
          <w:rFonts w:hAnsi="宋体" w:hint="eastAsia"/>
          <w:sz w:val="24"/>
        </w:rPr>
        <w:t>考虑以上情况，提出对</w:t>
      </w:r>
      <w:r>
        <w:rPr>
          <w:rFonts w:hAnsi="宋体" w:hint="eastAsia"/>
          <w:sz w:val="24"/>
        </w:rPr>
        <w:t>JJ</w:t>
      </w:r>
      <w:r>
        <w:rPr>
          <w:rFonts w:ascii="宋体" w:hAnsi="宋体" w:hint="eastAsia"/>
          <w:sz w:val="24"/>
          <w:shd w:val="clear" w:color="auto" w:fill="FFFFFF"/>
        </w:rPr>
        <w:t>F 1139-2005</w:t>
      </w:r>
      <w:r>
        <w:rPr>
          <w:rFonts w:ascii="宋体" w:hAnsi="宋体" w:hint="eastAsia"/>
          <w:sz w:val="24"/>
          <w:shd w:val="clear" w:color="auto" w:fill="FFFFFF"/>
        </w:rPr>
        <w:t>《计量器具检定周期确定原则和方法》的修订，使规范的技术内容与国内外相关技术文件保持同步一致，同时，考虑到目前计量器具检定周期的实际使用情况，对检定周期的确定要求和方法进行补充完善，使之更加符合实际检定工作的需要，更便于实际工作中检定周期的确定和使用。本技术规范修</w:t>
      </w:r>
      <w:r>
        <w:rPr>
          <w:rFonts w:ascii="宋体" w:hAnsi="宋体" w:hint="eastAsia"/>
          <w:sz w:val="24"/>
          <w:shd w:val="clear" w:color="auto" w:fill="FFFFFF"/>
        </w:rPr>
        <w:t>订目的是为计量检定规程和校准规范的制定部门，在确定计量器具的检定周期时提供技术依据，同时也为计量标准和计量器具使用单位，在建立、维护其计量标准过程中，或在使用计量标准</w:t>
      </w:r>
      <w:proofErr w:type="gramStart"/>
      <w:r>
        <w:rPr>
          <w:rFonts w:ascii="宋体" w:hAnsi="宋体" w:hint="eastAsia"/>
          <w:sz w:val="24"/>
          <w:shd w:val="clear" w:color="auto" w:fill="FFFFFF"/>
        </w:rPr>
        <w:t>器开展</w:t>
      </w:r>
      <w:proofErr w:type="gramEnd"/>
      <w:r>
        <w:rPr>
          <w:rFonts w:ascii="宋体" w:hAnsi="宋体" w:hint="eastAsia"/>
          <w:sz w:val="24"/>
          <w:shd w:val="clear" w:color="auto" w:fill="FFFFFF"/>
        </w:rPr>
        <w:t>检定工作时，如何确定计量器具的检定周期提供指导，对计量器具的检定和校准工作具有实际指导意义。</w:t>
      </w:r>
    </w:p>
    <w:p w14:paraId="77E66B53" w14:textId="77777777" w:rsidR="001A6EA8" w:rsidRDefault="001A6EA8">
      <w:pPr>
        <w:rPr>
          <w:rFonts w:ascii="宋体" w:hAnsi="宋体"/>
          <w:sz w:val="24"/>
        </w:rPr>
      </w:pPr>
    </w:p>
    <w:p w14:paraId="5DB0453D" w14:textId="77777777" w:rsidR="001A6EA8" w:rsidRDefault="00A5768A">
      <w:pPr>
        <w:numPr>
          <w:ilvl w:val="0"/>
          <w:numId w:val="1"/>
        </w:numPr>
        <w:rPr>
          <w:sz w:val="24"/>
        </w:rPr>
      </w:pPr>
      <w:r>
        <w:rPr>
          <w:rFonts w:hint="eastAsia"/>
          <w:sz w:val="24"/>
        </w:rPr>
        <w:t>编制依据和原则</w:t>
      </w:r>
    </w:p>
    <w:p w14:paraId="4E5D3044" w14:textId="77777777" w:rsidR="001A6EA8" w:rsidRDefault="00A5768A">
      <w:pPr>
        <w:numPr>
          <w:ilvl w:val="0"/>
          <w:numId w:val="2"/>
        </w:numPr>
        <w:rPr>
          <w:sz w:val="24"/>
        </w:rPr>
      </w:pPr>
      <w:r>
        <w:rPr>
          <w:rFonts w:hint="eastAsia"/>
          <w:sz w:val="24"/>
        </w:rPr>
        <w:t>编制依据</w:t>
      </w:r>
    </w:p>
    <w:p w14:paraId="68118B40" w14:textId="5A135275" w:rsidR="001A6EA8" w:rsidRDefault="00A5768A">
      <w:pPr>
        <w:ind w:firstLine="480"/>
        <w:rPr>
          <w:sz w:val="24"/>
        </w:rPr>
      </w:pPr>
      <w:r>
        <w:rPr>
          <w:rFonts w:hint="eastAsia"/>
          <w:sz w:val="24"/>
        </w:rPr>
        <w:t>本技术规范主要依据和参考了国际文件</w:t>
      </w:r>
      <w:r>
        <w:rPr>
          <w:rFonts w:hint="eastAsia"/>
          <w:sz w:val="24"/>
        </w:rPr>
        <w:t>NCSL RP-1</w:t>
      </w:r>
      <w:r>
        <w:rPr>
          <w:rFonts w:hint="eastAsia"/>
          <w:sz w:val="24"/>
        </w:rPr>
        <w:t>：</w:t>
      </w:r>
      <w:r>
        <w:rPr>
          <w:rFonts w:hint="eastAsia"/>
          <w:sz w:val="24"/>
        </w:rPr>
        <w:t xml:space="preserve">2010 </w:t>
      </w:r>
      <w:r>
        <w:rPr>
          <w:rFonts w:hint="eastAsia"/>
          <w:sz w:val="24"/>
        </w:rPr>
        <w:t>校准间隔的确定和调整（</w:t>
      </w:r>
      <w:r>
        <w:rPr>
          <w:rFonts w:hint="eastAsia"/>
          <w:sz w:val="24"/>
        </w:rPr>
        <w:t>Establishment and Adjustment of Calibration Intervals</w:t>
      </w:r>
      <w:r>
        <w:rPr>
          <w:rFonts w:hint="eastAsia"/>
          <w:sz w:val="24"/>
        </w:rPr>
        <w:t>）</w:t>
      </w:r>
      <w:r>
        <w:rPr>
          <w:sz w:val="24"/>
        </w:rPr>
        <w:t>和</w:t>
      </w:r>
      <w:r>
        <w:rPr>
          <w:rFonts w:hint="eastAsia"/>
          <w:sz w:val="24"/>
        </w:rPr>
        <w:t>OIML D10</w:t>
      </w:r>
      <w:r>
        <w:rPr>
          <w:rFonts w:hint="eastAsia"/>
          <w:sz w:val="24"/>
        </w:rPr>
        <w:t>：</w:t>
      </w:r>
      <w:r w:rsidR="00A55726">
        <w:rPr>
          <w:rFonts w:hint="eastAsia"/>
          <w:sz w:val="24"/>
        </w:rPr>
        <w:t>2022</w:t>
      </w:r>
      <w:r>
        <w:rPr>
          <w:rFonts w:hint="eastAsia"/>
          <w:sz w:val="24"/>
        </w:rPr>
        <w:t xml:space="preserve"> </w:t>
      </w:r>
      <w:r>
        <w:rPr>
          <w:rFonts w:hint="eastAsia"/>
          <w:sz w:val="24"/>
        </w:rPr>
        <w:t>测量设备校准间隔的确定导则（</w:t>
      </w:r>
      <w:r>
        <w:rPr>
          <w:rFonts w:hint="eastAsia"/>
          <w:sz w:val="24"/>
        </w:rPr>
        <w:t xml:space="preserve">Guidelines for the determination of recalibration intervals of measuring </w:t>
      </w:r>
      <w:r>
        <w:rPr>
          <w:rFonts w:hint="eastAsia"/>
          <w:sz w:val="24"/>
        </w:rPr>
        <w:lastRenderedPageBreak/>
        <w:t>equipment</w:t>
      </w:r>
      <w:r>
        <w:rPr>
          <w:rFonts w:hint="eastAsia"/>
          <w:sz w:val="24"/>
        </w:rPr>
        <w:t>）</w:t>
      </w:r>
      <w:r>
        <w:rPr>
          <w:sz w:val="24"/>
        </w:rPr>
        <w:t xml:space="preserve">  </w:t>
      </w:r>
      <w:r>
        <w:rPr>
          <w:rFonts w:hint="eastAsia"/>
          <w:sz w:val="24"/>
        </w:rPr>
        <w:t>进行编制。本技术规范所用术语，除在规范中专门定义外，均采用</w:t>
      </w:r>
      <w:r>
        <w:rPr>
          <w:rFonts w:hint="eastAsia"/>
          <w:sz w:val="24"/>
        </w:rPr>
        <w:t>JJF1001-2011</w:t>
      </w:r>
      <w:r>
        <w:rPr>
          <w:rFonts w:hint="eastAsia"/>
          <w:sz w:val="24"/>
        </w:rPr>
        <w:t>《通用计量术语及定义》。</w:t>
      </w:r>
    </w:p>
    <w:p w14:paraId="0417FB55" w14:textId="77777777" w:rsidR="001A6EA8" w:rsidRDefault="00A5768A">
      <w:pPr>
        <w:ind w:firstLineChars="200" w:firstLine="480"/>
        <w:rPr>
          <w:sz w:val="24"/>
        </w:rPr>
      </w:pPr>
      <w:r>
        <w:rPr>
          <w:rFonts w:hint="eastAsia"/>
          <w:sz w:val="24"/>
        </w:rPr>
        <w:t>本技术规范依据的主要技术文件有：</w:t>
      </w:r>
    </w:p>
    <w:p w14:paraId="2711A0A1" w14:textId="77777777" w:rsidR="001A6EA8" w:rsidRDefault="00A5768A">
      <w:pPr>
        <w:ind w:firstLineChars="200" w:firstLine="480"/>
        <w:rPr>
          <w:sz w:val="24"/>
        </w:rPr>
      </w:pPr>
      <w:r>
        <w:rPr>
          <w:rFonts w:hint="eastAsia"/>
          <w:sz w:val="24"/>
        </w:rPr>
        <w:t xml:space="preserve">JJF 1001-2011 </w:t>
      </w:r>
      <w:r>
        <w:rPr>
          <w:rFonts w:hint="eastAsia"/>
          <w:sz w:val="24"/>
        </w:rPr>
        <w:t>《通用计量术语及定义》</w:t>
      </w:r>
    </w:p>
    <w:p w14:paraId="6A4C1588" w14:textId="77777777" w:rsidR="001A6EA8" w:rsidRDefault="00A5768A">
      <w:pPr>
        <w:ind w:firstLineChars="200" w:firstLine="480"/>
        <w:rPr>
          <w:sz w:val="24"/>
        </w:rPr>
      </w:pPr>
      <w:r>
        <w:rPr>
          <w:rFonts w:hint="eastAsia"/>
          <w:sz w:val="24"/>
        </w:rPr>
        <w:t xml:space="preserve">JJF 1033-2016 </w:t>
      </w:r>
      <w:r>
        <w:rPr>
          <w:rFonts w:hint="eastAsia"/>
          <w:sz w:val="24"/>
        </w:rPr>
        <w:t>《计量标准考核规范》</w:t>
      </w:r>
    </w:p>
    <w:p w14:paraId="03E2E278" w14:textId="77777777" w:rsidR="001A6EA8" w:rsidRDefault="00A5768A">
      <w:pPr>
        <w:ind w:rightChars="-51" w:right="-107" w:firstLineChars="236" w:firstLine="566"/>
        <w:rPr>
          <w:sz w:val="24"/>
        </w:rPr>
      </w:pPr>
      <w:r>
        <w:rPr>
          <w:rFonts w:hint="eastAsia"/>
          <w:sz w:val="24"/>
        </w:rPr>
        <w:t>NCSL RP-1</w:t>
      </w:r>
      <w:r>
        <w:rPr>
          <w:rFonts w:hint="eastAsia"/>
          <w:sz w:val="24"/>
        </w:rPr>
        <w:t>：</w:t>
      </w:r>
      <w:r>
        <w:rPr>
          <w:rFonts w:hint="eastAsia"/>
          <w:sz w:val="24"/>
        </w:rPr>
        <w:t xml:space="preserve">2010 </w:t>
      </w:r>
      <w:r>
        <w:rPr>
          <w:rFonts w:hint="eastAsia"/>
          <w:sz w:val="24"/>
        </w:rPr>
        <w:t>校准间隔的确定和调整（</w:t>
      </w:r>
      <w:r>
        <w:rPr>
          <w:rFonts w:hint="eastAsia"/>
          <w:sz w:val="24"/>
        </w:rPr>
        <w:t>Establishment and Adjustment of Calibration Intervals</w:t>
      </w:r>
      <w:r>
        <w:rPr>
          <w:rFonts w:hint="eastAsia"/>
          <w:sz w:val="24"/>
        </w:rPr>
        <w:t>）</w:t>
      </w:r>
    </w:p>
    <w:p w14:paraId="3216C3D3" w14:textId="2A58491B" w:rsidR="001A6EA8" w:rsidRDefault="00A5768A">
      <w:pPr>
        <w:ind w:rightChars="-51" w:right="-107" w:firstLineChars="236" w:firstLine="566"/>
        <w:rPr>
          <w:sz w:val="24"/>
        </w:rPr>
      </w:pPr>
      <w:r>
        <w:rPr>
          <w:rFonts w:hint="eastAsia"/>
          <w:sz w:val="24"/>
        </w:rPr>
        <w:t>OIML D10</w:t>
      </w:r>
      <w:r>
        <w:rPr>
          <w:rFonts w:hint="eastAsia"/>
          <w:sz w:val="24"/>
        </w:rPr>
        <w:t>：</w:t>
      </w:r>
      <w:r w:rsidR="00A55726">
        <w:rPr>
          <w:rFonts w:hint="eastAsia"/>
          <w:sz w:val="24"/>
        </w:rPr>
        <w:t>2022</w:t>
      </w:r>
      <w:r>
        <w:rPr>
          <w:rFonts w:hint="eastAsia"/>
          <w:sz w:val="24"/>
        </w:rPr>
        <w:t xml:space="preserve"> </w:t>
      </w:r>
      <w:r>
        <w:rPr>
          <w:rFonts w:hint="eastAsia"/>
          <w:sz w:val="24"/>
        </w:rPr>
        <w:t>测量设备校准间隔的确定导则（</w:t>
      </w:r>
      <w:r>
        <w:rPr>
          <w:rFonts w:hint="eastAsia"/>
          <w:sz w:val="24"/>
        </w:rPr>
        <w:t>Guidelines for the determination of recalibration intervals of measuring equipment</w:t>
      </w:r>
      <w:r>
        <w:rPr>
          <w:rFonts w:hint="eastAsia"/>
          <w:sz w:val="24"/>
        </w:rPr>
        <w:t>）</w:t>
      </w:r>
      <w:r>
        <w:rPr>
          <w:sz w:val="24"/>
        </w:rPr>
        <w:t xml:space="preserve">  </w:t>
      </w:r>
    </w:p>
    <w:p w14:paraId="2E635244" w14:textId="77777777" w:rsidR="001A6EA8" w:rsidRDefault="00A5768A">
      <w:pPr>
        <w:numPr>
          <w:ilvl w:val="0"/>
          <w:numId w:val="2"/>
        </w:numPr>
        <w:rPr>
          <w:sz w:val="24"/>
        </w:rPr>
      </w:pPr>
      <w:r>
        <w:rPr>
          <w:rFonts w:hint="eastAsia"/>
          <w:sz w:val="24"/>
        </w:rPr>
        <w:t>编写原则</w:t>
      </w:r>
    </w:p>
    <w:p w14:paraId="3357C1A9" w14:textId="567D33FA" w:rsidR="001A6EA8" w:rsidRDefault="00A5768A">
      <w:pPr>
        <w:ind w:firstLineChars="200" w:firstLine="480"/>
        <w:rPr>
          <w:sz w:val="24"/>
        </w:rPr>
      </w:pPr>
      <w:r>
        <w:rPr>
          <w:rFonts w:hint="eastAsia"/>
          <w:bCs/>
          <w:sz w:val="24"/>
        </w:rPr>
        <w:t>本技术规范在</w:t>
      </w:r>
      <w:r>
        <w:rPr>
          <w:rFonts w:ascii="宋体" w:hAnsi="宋体" w:hint="eastAsia"/>
          <w:sz w:val="24"/>
        </w:rPr>
        <w:t>JJF1139-2005</w:t>
      </w:r>
      <w:r>
        <w:rPr>
          <w:rFonts w:ascii="宋体" w:hAnsi="宋体" w:hint="eastAsia"/>
          <w:sz w:val="24"/>
        </w:rPr>
        <w:t>《计量器具检定周期确定原则和方法》的基础上，</w:t>
      </w:r>
      <w:r>
        <w:rPr>
          <w:rFonts w:hint="eastAsia"/>
          <w:bCs/>
          <w:sz w:val="24"/>
        </w:rPr>
        <w:t>以</w:t>
      </w:r>
      <w:r>
        <w:rPr>
          <w:rFonts w:hint="eastAsia"/>
          <w:sz w:val="24"/>
        </w:rPr>
        <w:t>国际文件</w:t>
      </w:r>
      <w:r>
        <w:rPr>
          <w:rFonts w:hint="eastAsia"/>
          <w:sz w:val="24"/>
        </w:rPr>
        <w:t>NCSL RP-1</w:t>
      </w:r>
      <w:r>
        <w:rPr>
          <w:rFonts w:hint="eastAsia"/>
          <w:sz w:val="24"/>
        </w:rPr>
        <w:t>：</w:t>
      </w:r>
      <w:r>
        <w:rPr>
          <w:rFonts w:hint="eastAsia"/>
          <w:sz w:val="24"/>
        </w:rPr>
        <w:t xml:space="preserve">2010 </w:t>
      </w:r>
      <w:r>
        <w:rPr>
          <w:rFonts w:hint="eastAsia"/>
          <w:sz w:val="24"/>
        </w:rPr>
        <w:t>校准间隔的确定和调整（</w:t>
      </w:r>
      <w:r>
        <w:rPr>
          <w:rFonts w:hint="eastAsia"/>
          <w:sz w:val="24"/>
        </w:rPr>
        <w:t>Establishme</w:t>
      </w:r>
      <w:r>
        <w:rPr>
          <w:rFonts w:hint="eastAsia"/>
          <w:sz w:val="24"/>
        </w:rPr>
        <w:t>nt and Adjustment of Calibration Intervals</w:t>
      </w:r>
      <w:r>
        <w:rPr>
          <w:rFonts w:hint="eastAsia"/>
          <w:sz w:val="24"/>
        </w:rPr>
        <w:t>）</w:t>
      </w:r>
      <w:r>
        <w:rPr>
          <w:sz w:val="24"/>
        </w:rPr>
        <w:t>和</w:t>
      </w:r>
      <w:r>
        <w:rPr>
          <w:rFonts w:hint="eastAsia"/>
          <w:sz w:val="24"/>
        </w:rPr>
        <w:t>OIML D10</w:t>
      </w:r>
      <w:r>
        <w:rPr>
          <w:rFonts w:hint="eastAsia"/>
          <w:sz w:val="24"/>
        </w:rPr>
        <w:t>：</w:t>
      </w:r>
      <w:r w:rsidR="00A55726">
        <w:rPr>
          <w:rFonts w:hint="eastAsia"/>
          <w:sz w:val="24"/>
        </w:rPr>
        <w:t>2022</w:t>
      </w:r>
      <w:r>
        <w:rPr>
          <w:rFonts w:hint="eastAsia"/>
          <w:sz w:val="24"/>
        </w:rPr>
        <w:t xml:space="preserve"> </w:t>
      </w:r>
      <w:r>
        <w:rPr>
          <w:rFonts w:hint="eastAsia"/>
          <w:sz w:val="24"/>
        </w:rPr>
        <w:t>测量设备校准间隔的确定导则（</w:t>
      </w:r>
      <w:r>
        <w:rPr>
          <w:rFonts w:hint="eastAsia"/>
          <w:sz w:val="24"/>
        </w:rPr>
        <w:t>Guidelines for the determination of recalibration intervals of measuring equipment</w:t>
      </w:r>
      <w:r>
        <w:rPr>
          <w:rFonts w:hint="eastAsia"/>
          <w:sz w:val="24"/>
        </w:rPr>
        <w:t>）</w:t>
      </w:r>
      <w:r>
        <w:rPr>
          <w:rFonts w:hint="eastAsia"/>
          <w:bCs/>
          <w:sz w:val="24"/>
        </w:rPr>
        <w:t>为主要技术依据，遵循科学性、合理性、可行性和可操作性的原则，结合计量器具检定周期确定的实际工作进行修订，主要的技术指标与</w:t>
      </w:r>
      <w:r>
        <w:rPr>
          <w:sz w:val="24"/>
        </w:rPr>
        <w:t>NCSL RP-1</w:t>
      </w:r>
      <w:r>
        <w:rPr>
          <w:rFonts w:hint="eastAsia"/>
          <w:sz w:val="24"/>
        </w:rPr>
        <w:t>和</w:t>
      </w:r>
      <w:r>
        <w:rPr>
          <w:rFonts w:hint="eastAsia"/>
          <w:sz w:val="24"/>
        </w:rPr>
        <w:t>OIML D10</w:t>
      </w:r>
      <w:r>
        <w:rPr>
          <w:rFonts w:hint="eastAsia"/>
          <w:bCs/>
          <w:sz w:val="24"/>
        </w:rPr>
        <w:t>相一致。</w:t>
      </w:r>
    </w:p>
    <w:p w14:paraId="48AD4AC2" w14:textId="77777777" w:rsidR="001A6EA8" w:rsidRDefault="00A5768A">
      <w:pPr>
        <w:ind w:firstLineChars="200" w:firstLine="480"/>
        <w:rPr>
          <w:bCs/>
          <w:sz w:val="24"/>
        </w:rPr>
      </w:pPr>
      <w:r>
        <w:rPr>
          <w:rFonts w:hint="eastAsia"/>
          <w:bCs/>
          <w:sz w:val="24"/>
        </w:rPr>
        <w:t>在编制过程中起草小组掌握以下几个原则</w:t>
      </w:r>
      <w:r>
        <w:rPr>
          <w:rFonts w:hint="eastAsia"/>
          <w:bCs/>
          <w:sz w:val="24"/>
        </w:rPr>
        <w:t>：</w:t>
      </w:r>
    </w:p>
    <w:p w14:paraId="3B19D090" w14:textId="77777777" w:rsidR="001A6EA8" w:rsidRDefault="00A5768A">
      <w:pPr>
        <w:ind w:firstLineChars="200" w:firstLine="480"/>
        <w:rPr>
          <w:bCs/>
          <w:sz w:val="24"/>
        </w:rPr>
      </w:pPr>
      <w:r>
        <w:rPr>
          <w:rFonts w:hint="eastAsia"/>
          <w:bCs/>
          <w:sz w:val="24"/>
        </w:rPr>
        <w:t>(1)</w:t>
      </w:r>
      <w:r>
        <w:rPr>
          <w:rFonts w:hint="eastAsia"/>
          <w:bCs/>
          <w:sz w:val="24"/>
        </w:rPr>
        <w:t>与现行国际文件指标一致，结合工作实际进行编制；</w:t>
      </w:r>
    </w:p>
    <w:p w14:paraId="68630737" w14:textId="77777777" w:rsidR="001A6EA8" w:rsidRDefault="00A5768A">
      <w:pPr>
        <w:ind w:firstLineChars="200" w:firstLine="480"/>
        <w:rPr>
          <w:bCs/>
          <w:sz w:val="24"/>
        </w:rPr>
      </w:pPr>
      <w:r>
        <w:rPr>
          <w:rFonts w:hint="eastAsia"/>
          <w:bCs/>
          <w:sz w:val="24"/>
        </w:rPr>
        <w:t>(2)</w:t>
      </w:r>
      <w:r>
        <w:rPr>
          <w:rFonts w:hint="eastAsia"/>
          <w:bCs/>
          <w:sz w:val="24"/>
        </w:rPr>
        <w:t>体现目前计量行业在确定计量器具检定周期方面的共性需求；</w:t>
      </w:r>
    </w:p>
    <w:p w14:paraId="3A18C031" w14:textId="77777777" w:rsidR="001A6EA8" w:rsidRDefault="00A5768A">
      <w:pPr>
        <w:ind w:firstLineChars="200" w:firstLine="480"/>
        <w:rPr>
          <w:bCs/>
          <w:sz w:val="24"/>
        </w:rPr>
      </w:pPr>
      <w:r>
        <w:rPr>
          <w:rFonts w:hint="eastAsia"/>
          <w:bCs/>
          <w:sz w:val="24"/>
        </w:rPr>
        <w:t>(3)</w:t>
      </w:r>
      <w:r>
        <w:rPr>
          <w:rFonts w:hint="eastAsia"/>
          <w:bCs/>
          <w:sz w:val="24"/>
        </w:rPr>
        <w:t>具体实施时的可行性和可操作性；</w:t>
      </w:r>
    </w:p>
    <w:p w14:paraId="6291F143" w14:textId="77777777" w:rsidR="001A6EA8" w:rsidRDefault="00A5768A">
      <w:pPr>
        <w:ind w:firstLineChars="200" w:firstLine="480"/>
        <w:rPr>
          <w:sz w:val="24"/>
        </w:rPr>
      </w:pPr>
      <w:r>
        <w:rPr>
          <w:rFonts w:hint="eastAsia"/>
          <w:bCs/>
          <w:sz w:val="24"/>
        </w:rPr>
        <w:t>(4)</w:t>
      </w:r>
      <w:r>
        <w:rPr>
          <w:rFonts w:hint="eastAsia"/>
          <w:bCs/>
          <w:sz w:val="24"/>
        </w:rPr>
        <w:t>合理继承</w:t>
      </w:r>
      <w:r>
        <w:rPr>
          <w:rFonts w:ascii="宋体" w:hAnsi="宋体" w:hint="eastAsia"/>
          <w:sz w:val="24"/>
        </w:rPr>
        <w:t>JJF1139-2005</w:t>
      </w:r>
      <w:r>
        <w:rPr>
          <w:rFonts w:ascii="宋体" w:hAnsi="宋体" w:hint="eastAsia"/>
          <w:sz w:val="24"/>
        </w:rPr>
        <w:t>技术</w:t>
      </w:r>
      <w:r>
        <w:rPr>
          <w:rFonts w:hint="eastAsia"/>
          <w:bCs/>
          <w:sz w:val="24"/>
        </w:rPr>
        <w:t>规范的中心思想和主要内容。本着先进性、科学性、合理性和可操作性的原则编制。</w:t>
      </w:r>
    </w:p>
    <w:p w14:paraId="13E192E6" w14:textId="77777777" w:rsidR="001A6EA8" w:rsidRDefault="001A6EA8">
      <w:pPr>
        <w:ind w:firstLineChars="200" w:firstLine="480"/>
        <w:rPr>
          <w:sz w:val="24"/>
        </w:rPr>
      </w:pPr>
    </w:p>
    <w:p w14:paraId="4FCD492F" w14:textId="77777777" w:rsidR="001A6EA8" w:rsidRDefault="00A5768A">
      <w:pPr>
        <w:numPr>
          <w:ilvl w:val="0"/>
          <w:numId w:val="1"/>
        </w:numPr>
        <w:rPr>
          <w:sz w:val="24"/>
        </w:rPr>
      </w:pPr>
      <w:r>
        <w:rPr>
          <w:rFonts w:hint="eastAsia"/>
          <w:sz w:val="24"/>
        </w:rPr>
        <w:t>编制过程</w:t>
      </w:r>
    </w:p>
    <w:p w14:paraId="117D82CB" w14:textId="77777777" w:rsidR="001A6EA8" w:rsidRDefault="00A5768A">
      <w:pPr>
        <w:ind w:firstLineChars="235" w:firstLine="566"/>
        <w:rPr>
          <w:b/>
          <w:sz w:val="24"/>
        </w:rPr>
      </w:pPr>
      <w:r>
        <w:rPr>
          <w:rFonts w:hint="eastAsia"/>
          <w:b/>
          <w:sz w:val="24"/>
        </w:rPr>
        <w:t>第一阶段：起草工作和试验验证阶段</w:t>
      </w:r>
    </w:p>
    <w:p w14:paraId="170F5CBF" w14:textId="77777777" w:rsidR="001A6EA8" w:rsidRDefault="00A5768A">
      <w:pPr>
        <w:ind w:firstLineChars="235" w:firstLine="564"/>
        <w:rPr>
          <w:sz w:val="24"/>
        </w:rPr>
      </w:pPr>
      <w:r>
        <w:rPr>
          <w:rFonts w:hint="eastAsia"/>
          <w:sz w:val="24"/>
        </w:rPr>
        <w:t>起草小组于</w:t>
      </w:r>
      <w:r>
        <w:rPr>
          <w:rFonts w:hint="eastAsia"/>
          <w:sz w:val="24"/>
        </w:rPr>
        <w:t>2021</w:t>
      </w:r>
      <w:r>
        <w:rPr>
          <w:rFonts w:hint="eastAsia"/>
          <w:sz w:val="24"/>
        </w:rPr>
        <w:t>年</w:t>
      </w:r>
      <w:r>
        <w:rPr>
          <w:rFonts w:hint="eastAsia"/>
          <w:sz w:val="24"/>
        </w:rPr>
        <w:t>3</w:t>
      </w:r>
      <w:r>
        <w:rPr>
          <w:rFonts w:hint="eastAsia"/>
          <w:sz w:val="24"/>
        </w:rPr>
        <w:t>月开始筹备，考虑参编单位组成应为计量行业中对计量器具的检定和计量器具检定周期的确定有着丰富经验的单位，能涵盖不同计量专业的不同计量器具需求，起草单位主要由国内多年从事法定计量检定、具有较强技术实力的计量技术机构和相关单位组成。</w:t>
      </w:r>
    </w:p>
    <w:p w14:paraId="4365CB4D" w14:textId="77777777" w:rsidR="001A6EA8" w:rsidRDefault="00A5768A">
      <w:pPr>
        <w:ind w:firstLineChars="200" w:firstLine="480"/>
        <w:rPr>
          <w:sz w:val="24"/>
        </w:rPr>
      </w:pPr>
      <w:r>
        <w:rPr>
          <w:rFonts w:hint="eastAsia"/>
          <w:sz w:val="24"/>
        </w:rPr>
        <w:lastRenderedPageBreak/>
        <w:t>编制计划和过程：</w:t>
      </w:r>
    </w:p>
    <w:p w14:paraId="3335207D" w14:textId="77777777" w:rsidR="001A6EA8" w:rsidRDefault="00A5768A">
      <w:pPr>
        <w:ind w:firstLineChars="235" w:firstLine="564"/>
        <w:rPr>
          <w:sz w:val="24"/>
        </w:rPr>
      </w:pPr>
      <w:r>
        <w:rPr>
          <w:rFonts w:hint="eastAsia"/>
          <w:sz w:val="24"/>
        </w:rPr>
        <w:t>1</w:t>
      </w:r>
      <w:r>
        <w:rPr>
          <w:rFonts w:hint="eastAsia"/>
          <w:sz w:val="24"/>
        </w:rPr>
        <w:t>、</w:t>
      </w:r>
      <w:r>
        <w:rPr>
          <w:rFonts w:hint="eastAsia"/>
          <w:sz w:val="24"/>
        </w:rPr>
        <w:t>2021</w:t>
      </w:r>
      <w:r>
        <w:rPr>
          <w:rFonts w:hint="eastAsia"/>
          <w:sz w:val="24"/>
        </w:rPr>
        <w:t>年</w:t>
      </w:r>
      <w:r>
        <w:rPr>
          <w:rFonts w:hint="eastAsia"/>
          <w:sz w:val="24"/>
        </w:rPr>
        <w:t>3</w:t>
      </w:r>
      <w:r>
        <w:rPr>
          <w:rFonts w:hint="eastAsia"/>
          <w:sz w:val="24"/>
        </w:rPr>
        <w:t>月至</w:t>
      </w:r>
      <w:r>
        <w:rPr>
          <w:rFonts w:hint="eastAsia"/>
          <w:sz w:val="24"/>
        </w:rPr>
        <w:t>4</w:t>
      </w:r>
      <w:r>
        <w:rPr>
          <w:rFonts w:hint="eastAsia"/>
          <w:sz w:val="24"/>
        </w:rPr>
        <w:t>月</w:t>
      </w:r>
      <w:r>
        <w:rPr>
          <w:rFonts w:hint="eastAsia"/>
          <w:sz w:val="24"/>
        </w:rPr>
        <w:t xml:space="preserve"> </w:t>
      </w:r>
      <w:r>
        <w:rPr>
          <w:rFonts w:hint="eastAsia"/>
          <w:sz w:val="24"/>
        </w:rPr>
        <w:t>调研、初步探讨阶段，根据规范制定任务要求，起草单位采用电话、邮件、</w:t>
      </w:r>
      <w:proofErr w:type="gramStart"/>
      <w:r>
        <w:rPr>
          <w:rFonts w:hint="eastAsia"/>
          <w:sz w:val="24"/>
        </w:rPr>
        <w:t>微信等</w:t>
      </w:r>
      <w:proofErr w:type="gramEnd"/>
      <w:r>
        <w:rPr>
          <w:rFonts w:hint="eastAsia"/>
          <w:sz w:val="24"/>
        </w:rPr>
        <w:t>方式进行了广泛初步调研，对本技术规范的可行性、可操作性进行初步探讨研究。</w:t>
      </w:r>
    </w:p>
    <w:p w14:paraId="182C3B3F" w14:textId="77777777" w:rsidR="001A6EA8" w:rsidRDefault="00A5768A">
      <w:pPr>
        <w:ind w:firstLineChars="235" w:firstLine="564"/>
        <w:rPr>
          <w:sz w:val="24"/>
        </w:rPr>
      </w:pPr>
      <w:r>
        <w:rPr>
          <w:rFonts w:hint="eastAsia"/>
          <w:sz w:val="24"/>
        </w:rPr>
        <w:t>2</w:t>
      </w:r>
      <w:r>
        <w:rPr>
          <w:rFonts w:hint="eastAsia"/>
          <w:sz w:val="24"/>
        </w:rPr>
        <w:t>、</w:t>
      </w:r>
      <w:r>
        <w:rPr>
          <w:rFonts w:hint="eastAsia"/>
          <w:sz w:val="24"/>
        </w:rPr>
        <w:t>2021</w:t>
      </w:r>
      <w:r>
        <w:rPr>
          <w:rFonts w:hint="eastAsia"/>
          <w:sz w:val="24"/>
        </w:rPr>
        <w:t>年</w:t>
      </w:r>
      <w:r>
        <w:rPr>
          <w:rFonts w:hint="eastAsia"/>
          <w:sz w:val="24"/>
        </w:rPr>
        <w:t>5</w:t>
      </w:r>
      <w:r>
        <w:rPr>
          <w:rFonts w:hint="eastAsia"/>
          <w:sz w:val="24"/>
        </w:rPr>
        <w:t>月</w:t>
      </w:r>
      <w:r>
        <w:rPr>
          <w:rFonts w:hint="eastAsia"/>
          <w:sz w:val="24"/>
        </w:rPr>
        <w:t xml:space="preserve"> </w:t>
      </w:r>
      <w:r>
        <w:rPr>
          <w:rFonts w:hint="eastAsia"/>
          <w:sz w:val="24"/>
        </w:rPr>
        <w:t>成立起草小组，在对国际文件</w:t>
      </w:r>
      <w:r>
        <w:rPr>
          <w:sz w:val="24"/>
        </w:rPr>
        <w:t>NCSL RP-1</w:t>
      </w:r>
      <w:r>
        <w:rPr>
          <w:sz w:val="24"/>
        </w:rPr>
        <w:t>和</w:t>
      </w:r>
      <w:r>
        <w:rPr>
          <w:rFonts w:hint="eastAsia"/>
          <w:sz w:val="24"/>
        </w:rPr>
        <w:t>D10</w:t>
      </w:r>
      <w:r>
        <w:rPr>
          <w:sz w:val="24"/>
        </w:rPr>
        <w:t>进行翻译与研讨的基础上</w:t>
      </w:r>
      <w:r>
        <w:rPr>
          <w:sz w:val="24"/>
        </w:rPr>
        <w:t>，</w:t>
      </w:r>
      <w:r>
        <w:rPr>
          <w:rFonts w:hint="eastAsia"/>
          <w:sz w:val="24"/>
        </w:rPr>
        <w:t>初步讨论本技术规范的主要内容。由于疫情影响，起草组在</w:t>
      </w:r>
      <w:r>
        <w:rPr>
          <w:rFonts w:hint="eastAsia"/>
          <w:sz w:val="24"/>
        </w:rPr>
        <w:t>2021</w:t>
      </w:r>
      <w:r>
        <w:rPr>
          <w:rFonts w:hint="eastAsia"/>
          <w:sz w:val="24"/>
        </w:rPr>
        <w:t>年</w:t>
      </w:r>
      <w:r>
        <w:rPr>
          <w:rFonts w:hint="eastAsia"/>
          <w:sz w:val="24"/>
        </w:rPr>
        <w:t>8</w:t>
      </w:r>
      <w:r>
        <w:rPr>
          <w:rFonts w:hint="eastAsia"/>
          <w:sz w:val="24"/>
        </w:rPr>
        <w:t>月</w:t>
      </w:r>
      <w:r>
        <w:rPr>
          <w:rFonts w:hint="eastAsia"/>
          <w:sz w:val="24"/>
        </w:rPr>
        <w:t>21</w:t>
      </w:r>
      <w:r>
        <w:rPr>
          <w:rFonts w:hint="eastAsia"/>
          <w:sz w:val="24"/>
        </w:rPr>
        <w:t>日</w:t>
      </w:r>
      <w:proofErr w:type="gramStart"/>
      <w:r>
        <w:rPr>
          <w:rFonts w:hint="eastAsia"/>
          <w:sz w:val="24"/>
        </w:rPr>
        <w:t>通过腾讯会议</w:t>
      </w:r>
      <w:proofErr w:type="gramEnd"/>
      <w:r>
        <w:rPr>
          <w:rFonts w:hint="eastAsia"/>
          <w:sz w:val="24"/>
        </w:rPr>
        <w:t>型式召开了首次视频会议，讨论本技术规范的制定原则、结构框架与主要内容，商讨起草工作任务安排，制定规范编制工作计划，明确了各个起草单位的任务分工。</w:t>
      </w:r>
    </w:p>
    <w:p w14:paraId="73E99F93" w14:textId="77777777" w:rsidR="001A6EA8" w:rsidRDefault="00A5768A">
      <w:pPr>
        <w:ind w:firstLineChars="235" w:firstLine="564"/>
        <w:rPr>
          <w:sz w:val="24"/>
        </w:rPr>
      </w:pPr>
      <w:r>
        <w:rPr>
          <w:rFonts w:hint="eastAsia"/>
          <w:sz w:val="24"/>
        </w:rPr>
        <w:t>3</w:t>
      </w:r>
      <w:r>
        <w:rPr>
          <w:rFonts w:hint="eastAsia"/>
          <w:sz w:val="24"/>
        </w:rPr>
        <w:t>、</w:t>
      </w:r>
      <w:r>
        <w:rPr>
          <w:rFonts w:hint="eastAsia"/>
          <w:sz w:val="24"/>
        </w:rPr>
        <w:t>2021</w:t>
      </w:r>
      <w:r>
        <w:rPr>
          <w:rFonts w:hint="eastAsia"/>
          <w:sz w:val="24"/>
        </w:rPr>
        <w:t>年</w:t>
      </w:r>
      <w:r>
        <w:rPr>
          <w:rFonts w:hint="eastAsia"/>
          <w:sz w:val="24"/>
        </w:rPr>
        <w:t>9</w:t>
      </w:r>
      <w:r>
        <w:rPr>
          <w:rFonts w:hint="eastAsia"/>
          <w:sz w:val="24"/>
        </w:rPr>
        <w:t>月</w:t>
      </w:r>
      <w:r>
        <w:rPr>
          <w:rFonts w:hint="eastAsia"/>
          <w:sz w:val="24"/>
        </w:rPr>
        <w:t xml:space="preserve"> </w:t>
      </w:r>
      <w:r>
        <w:rPr>
          <w:rFonts w:hint="eastAsia"/>
          <w:sz w:val="24"/>
        </w:rPr>
        <w:t>起草小组内部征求意见，同时处理小组反馈意见。</w:t>
      </w:r>
    </w:p>
    <w:p w14:paraId="649BB360" w14:textId="77777777" w:rsidR="001A6EA8" w:rsidRDefault="00A5768A">
      <w:pPr>
        <w:ind w:firstLineChars="235" w:firstLine="564"/>
        <w:rPr>
          <w:sz w:val="24"/>
        </w:rPr>
      </w:pPr>
      <w:r>
        <w:rPr>
          <w:rFonts w:hint="eastAsia"/>
          <w:sz w:val="24"/>
        </w:rPr>
        <w:t>4</w:t>
      </w:r>
      <w:r>
        <w:rPr>
          <w:rFonts w:hint="eastAsia"/>
          <w:sz w:val="24"/>
        </w:rPr>
        <w:t>、</w:t>
      </w:r>
      <w:r>
        <w:rPr>
          <w:rFonts w:hint="eastAsia"/>
          <w:sz w:val="24"/>
        </w:rPr>
        <w:t>2021</w:t>
      </w:r>
      <w:r>
        <w:rPr>
          <w:rFonts w:hint="eastAsia"/>
          <w:sz w:val="24"/>
        </w:rPr>
        <w:t>年</w:t>
      </w:r>
      <w:r>
        <w:rPr>
          <w:rFonts w:hint="eastAsia"/>
          <w:sz w:val="24"/>
        </w:rPr>
        <w:t>10</w:t>
      </w:r>
      <w:r>
        <w:rPr>
          <w:rFonts w:hint="eastAsia"/>
          <w:sz w:val="24"/>
        </w:rPr>
        <w:t>月完成</w:t>
      </w:r>
      <w:r>
        <w:rPr>
          <w:rFonts w:hint="eastAsia"/>
          <w:sz w:val="24"/>
        </w:rPr>
        <w:t xml:space="preserve"> </w:t>
      </w:r>
      <w:r>
        <w:rPr>
          <w:rFonts w:ascii="宋体" w:hAnsi="宋体" w:hint="eastAsia"/>
          <w:sz w:val="24"/>
        </w:rPr>
        <w:t>JJF1139</w:t>
      </w:r>
      <w:r>
        <w:rPr>
          <w:rFonts w:ascii="宋体" w:hAnsi="宋体" w:hint="eastAsia"/>
          <w:sz w:val="24"/>
        </w:rPr>
        <w:t>《计量器具检定周期确定原则和方法》</w:t>
      </w:r>
      <w:r>
        <w:rPr>
          <w:rFonts w:hint="eastAsia"/>
          <w:sz w:val="24"/>
        </w:rPr>
        <w:t>技术规范正文初稿、验证报告、编制说明。</w:t>
      </w:r>
      <w:r>
        <w:rPr>
          <w:rFonts w:hint="eastAsia"/>
          <w:sz w:val="24"/>
        </w:rPr>
        <w:t xml:space="preserve"> </w:t>
      </w:r>
    </w:p>
    <w:p w14:paraId="443D5625" w14:textId="77777777" w:rsidR="001A6EA8" w:rsidRDefault="001A6EA8">
      <w:pPr>
        <w:ind w:firstLineChars="235" w:firstLine="564"/>
        <w:rPr>
          <w:sz w:val="24"/>
        </w:rPr>
      </w:pPr>
    </w:p>
    <w:p w14:paraId="001EB558" w14:textId="77777777" w:rsidR="001A6EA8" w:rsidRDefault="00A5768A">
      <w:pPr>
        <w:ind w:firstLineChars="235" w:firstLine="566"/>
        <w:rPr>
          <w:b/>
          <w:sz w:val="24"/>
        </w:rPr>
      </w:pPr>
      <w:r>
        <w:rPr>
          <w:rFonts w:hint="eastAsia"/>
          <w:b/>
          <w:sz w:val="24"/>
        </w:rPr>
        <w:t>第二阶段：征求意见阶段</w:t>
      </w:r>
    </w:p>
    <w:p w14:paraId="351F93A9" w14:textId="77777777" w:rsidR="001A6EA8" w:rsidRDefault="00A5768A">
      <w:pPr>
        <w:ind w:firstLineChars="235" w:firstLine="564"/>
        <w:rPr>
          <w:sz w:val="24"/>
        </w:rPr>
      </w:pPr>
      <w:r>
        <w:rPr>
          <w:rFonts w:hint="eastAsia"/>
          <w:sz w:val="24"/>
        </w:rPr>
        <w:t>5</w:t>
      </w:r>
      <w:r>
        <w:rPr>
          <w:rFonts w:hint="eastAsia"/>
          <w:sz w:val="24"/>
        </w:rPr>
        <w:t>、</w:t>
      </w:r>
      <w:r>
        <w:rPr>
          <w:rFonts w:hint="eastAsia"/>
          <w:sz w:val="24"/>
        </w:rPr>
        <w:t>2021</w:t>
      </w:r>
      <w:r>
        <w:rPr>
          <w:rFonts w:hint="eastAsia"/>
          <w:sz w:val="24"/>
        </w:rPr>
        <w:t>年</w:t>
      </w:r>
      <w:r>
        <w:rPr>
          <w:rFonts w:hint="eastAsia"/>
          <w:sz w:val="24"/>
        </w:rPr>
        <w:t>1</w:t>
      </w:r>
      <w:r>
        <w:rPr>
          <w:sz w:val="24"/>
        </w:rPr>
        <w:t>0</w:t>
      </w:r>
      <w:r>
        <w:rPr>
          <w:rFonts w:hint="eastAsia"/>
          <w:sz w:val="24"/>
        </w:rPr>
        <w:t>月</w:t>
      </w:r>
      <w:r>
        <w:rPr>
          <w:rFonts w:ascii="宋体" w:hAnsi="宋体" w:hint="eastAsia"/>
          <w:sz w:val="24"/>
        </w:rPr>
        <w:t>～</w:t>
      </w:r>
      <w:r>
        <w:rPr>
          <w:rFonts w:hint="eastAsia"/>
          <w:sz w:val="24"/>
        </w:rPr>
        <w:t>12</w:t>
      </w:r>
      <w:r>
        <w:rPr>
          <w:rFonts w:hint="eastAsia"/>
          <w:sz w:val="24"/>
        </w:rPr>
        <w:t>月，通过中国计量协会网站（</w:t>
      </w:r>
      <w:hyperlink r:id="rId13" w:history="1">
        <w:r>
          <w:rPr>
            <w:rStyle w:val="ab"/>
            <w:color w:val="auto"/>
            <w:sz w:val="24"/>
          </w:rPr>
          <w:t>http://www.cma-cma.org/</w:t>
        </w:r>
      </w:hyperlink>
      <w:r>
        <w:rPr>
          <w:sz w:val="24"/>
        </w:rPr>
        <w:t>）</w:t>
      </w:r>
      <w:r>
        <w:rPr>
          <w:rFonts w:hint="eastAsia"/>
          <w:sz w:val="24"/>
        </w:rPr>
        <w:t>和</w:t>
      </w:r>
      <w:proofErr w:type="gramStart"/>
      <w:r>
        <w:rPr>
          <w:rFonts w:hint="eastAsia"/>
          <w:sz w:val="24"/>
        </w:rPr>
        <w:t>微信平台</w:t>
      </w:r>
      <w:proofErr w:type="gramEnd"/>
      <w:r>
        <w:rPr>
          <w:rFonts w:hint="eastAsia"/>
          <w:sz w:val="24"/>
        </w:rPr>
        <w:t>公布征求意见稿，在互联网上向全国公开，并向全国各个省级计量技术机构和有关单位以发送电子邮件方式征求意见，广泛听取和征求社会各方的意见。</w:t>
      </w:r>
    </w:p>
    <w:p w14:paraId="1770980F" w14:textId="77777777" w:rsidR="001A6EA8" w:rsidRDefault="00A5768A">
      <w:pPr>
        <w:ind w:firstLineChars="235" w:firstLine="564"/>
        <w:rPr>
          <w:sz w:val="24"/>
        </w:rPr>
      </w:pPr>
      <w:r>
        <w:rPr>
          <w:sz w:val="24"/>
        </w:rPr>
        <w:t>6</w:t>
      </w:r>
      <w:r>
        <w:rPr>
          <w:sz w:val="24"/>
        </w:rPr>
        <w:t>、</w:t>
      </w:r>
      <w:r>
        <w:rPr>
          <w:rFonts w:hint="eastAsia"/>
          <w:sz w:val="24"/>
        </w:rPr>
        <w:t>2022</w:t>
      </w:r>
      <w:r>
        <w:rPr>
          <w:rFonts w:hint="eastAsia"/>
          <w:sz w:val="24"/>
        </w:rPr>
        <w:t>年</w:t>
      </w:r>
      <w:r>
        <w:rPr>
          <w:rFonts w:hint="eastAsia"/>
          <w:sz w:val="24"/>
        </w:rPr>
        <w:t>3</w:t>
      </w:r>
      <w:r>
        <w:rPr>
          <w:rFonts w:hint="eastAsia"/>
          <w:sz w:val="24"/>
        </w:rPr>
        <w:t>月</w:t>
      </w:r>
      <w:r>
        <w:rPr>
          <w:rFonts w:hint="eastAsia"/>
          <w:sz w:val="24"/>
        </w:rPr>
        <w:t>20</w:t>
      </w:r>
      <w:r>
        <w:rPr>
          <w:rFonts w:hint="eastAsia"/>
          <w:sz w:val="24"/>
        </w:rPr>
        <w:t>日，</w:t>
      </w:r>
      <w:proofErr w:type="gramStart"/>
      <w:r>
        <w:rPr>
          <w:rFonts w:hint="eastAsia"/>
          <w:sz w:val="24"/>
        </w:rPr>
        <w:t>通过腾讯会议</w:t>
      </w:r>
      <w:proofErr w:type="gramEnd"/>
      <w:r>
        <w:rPr>
          <w:rFonts w:hint="eastAsia"/>
          <w:sz w:val="24"/>
        </w:rPr>
        <w:t>型式召开了第</w:t>
      </w:r>
      <w:r>
        <w:rPr>
          <w:rFonts w:hint="eastAsia"/>
          <w:sz w:val="24"/>
        </w:rPr>
        <w:t>2</w:t>
      </w:r>
      <w:r>
        <w:rPr>
          <w:rFonts w:hint="eastAsia"/>
          <w:sz w:val="24"/>
        </w:rPr>
        <w:t>次视频会议，</w:t>
      </w:r>
      <w:r>
        <w:rPr>
          <w:sz w:val="24"/>
        </w:rPr>
        <w:t>根据汇总意见并对进行修改和调整后第</w:t>
      </w:r>
      <w:r>
        <w:rPr>
          <w:rFonts w:hint="eastAsia"/>
          <w:sz w:val="24"/>
        </w:rPr>
        <w:t>2</w:t>
      </w:r>
      <w:r>
        <w:rPr>
          <w:rFonts w:hint="eastAsia"/>
          <w:sz w:val="24"/>
        </w:rPr>
        <w:t>稿</w:t>
      </w:r>
      <w:r>
        <w:rPr>
          <w:sz w:val="24"/>
        </w:rPr>
        <w:t>，</w:t>
      </w:r>
      <w:r>
        <w:rPr>
          <w:rFonts w:hint="eastAsia"/>
          <w:sz w:val="24"/>
        </w:rPr>
        <w:t>重点讨论了返回意见处理，以及整篇技术规范的通读研讨，修改调整不合适的段落和语句，经过认真讨论本技术规范，</w:t>
      </w:r>
      <w:r>
        <w:rPr>
          <w:sz w:val="24"/>
        </w:rPr>
        <w:t>通过形成报审稿。</w:t>
      </w:r>
    </w:p>
    <w:p w14:paraId="55863B42" w14:textId="77777777" w:rsidR="001A6EA8" w:rsidRDefault="00A5768A">
      <w:pPr>
        <w:ind w:firstLineChars="235" w:firstLine="566"/>
        <w:rPr>
          <w:b/>
          <w:sz w:val="24"/>
        </w:rPr>
      </w:pPr>
      <w:r>
        <w:rPr>
          <w:rFonts w:hint="eastAsia"/>
          <w:b/>
          <w:sz w:val="24"/>
        </w:rPr>
        <w:t>第三阶段：</w:t>
      </w:r>
      <w:r>
        <w:rPr>
          <w:rFonts w:hint="eastAsia"/>
          <w:b/>
          <w:sz w:val="24"/>
        </w:rPr>
        <w:t xml:space="preserve"> </w:t>
      </w:r>
      <w:r>
        <w:rPr>
          <w:rFonts w:hint="eastAsia"/>
          <w:b/>
          <w:sz w:val="24"/>
        </w:rPr>
        <w:t>审查报审报批阶段</w:t>
      </w:r>
      <w:r>
        <w:rPr>
          <w:rFonts w:hint="eastAsia"/>
          <w:b/>
          <w:sz w:val="24"/>
        </w:rPr>
        <w:t xml:space="preserve">  </w:t>
      </w:r>
    </w:p>
    <w:p w14:paraId="199C3B94" w14:textId="77777777" w:rsidR="001A6EA8" w:rsidRDefault="00A5768A">
      <w:pPr>
        <w:ind w:firstLineChars="235" w:firstLine="564"/>
        <w:rPr>
          <w:sz w:val="24"/>
        </w:rPr>
      </w:pPr>
      <w:r>
        <w:rPr>
          <w:rFonts w:hint="eastAsia"/>
          <w:sz w:val="24"/>
        </w:rPr>
        <w:t>7</w:t>
      </w:r>
      <w:r>
        <w:rPr>
          <w:rFonts w:hint="eastAsia"/>
          <w:sz w:val="24"/>
        </w:rPr>
        <w:t>、</w:t>
      </w:r>
      <w:r>
        <w:rPr>
          <w:rFonts w:hint="eastAsia"/>
          <w:sz w:val="24"/>
        </w:rPr>
        <w:t xml:space="preserve"> </w:t>
      </w:r>
      <w:r>
        <w:rPr>
          <w:sz w:val="24"/>
        </w:rPr>
        <w:t>2022</w:t>
      </w:r>
      <w:r>
        <w:rPr>
          <w:sz w:val="24"/>
        </w:rPr>
        <w:t>年</w:t>
      </w:r>
      <w:r>
        <w:rPr>
          <w:rFonts w:hint="eastAsia"/>
          <w:sz w:val="24"/>
        </w:rPr>
        <w:t>8</w:t>
      </w:r>
      <w:r>
        <w:rPr>
          <w:rFonts w:hint="eastAsia"/>
          <w:sz w:val="24"/>
        </w:rPr>
        <w:t>月，起草组把报审材料提交技术委员会</w:t>
      </w:r>
      <w:r>
        <w:rPr>
          <w:rFonts w:hint="eastAsia"/>
          <w:sz w:val="24"/>
        </w:rPr>
        <w:t>MTC1</w:t>
      </w:r>
      <w:r>
        <w:rPr>
          <w:rFonts w:hint="eastAsia"/>
          <w:sz w:val="24"/>
        </w:rPr>
        <w:t>秘书处。</w:t>
      </w:r>
    </w:p>
    <w:p w14:paraId="19A66620" w14:textId="68580CFD" w:rsidR="001A6EA8" w:rsidRDefault="00A5768A">
      <w:pPr>
        <w:ind w:firstLineChars="235" w:firstLine="564"/>
        <w:rPr>
          <w:sz w:val="24"/>
        </w:rPr>
      </w:pPr>
      <w:r>
        <w:rPr>
          <w:rFonts w:hint="eastAsia"/>
          <w:sz w:val="24"/>
        </w:rPr>
        <w:t>8</w:t>
      </w:r>
      <w:r>
        <w:rPr>
          <w:rFonts w:hint="eastAsia"/>
          <w:sz w:val="24"/>
        </w:rPr>
        <w:t>、</w:t>
      </w:r>
      <w:r>
        <w:rPr>
          <w:rFonts w:hint="eastAsia"/>
          <w:sz w:val="24"/>
        </w:rPr>
        <w:t>202</w:t>
      </w:r>
      <w:r w:rsidR="00DE2E7B">
        <w:rPr>
          <w:rFonts w:hint="eastAsia"/>
          <w:sz w:val="24"/>
        </w:rPr>
        <w:t>4</w:t>
      </w:r>
      <w:r>
        <w:rPr>
          <w:rFonts w:hint="eastAsia"/>
          <w:sz w:val="24"/>
        </w:rPr>
        <w:t>年</w:t>
      </w:r>
      <w:r w:rsidR="00DE2E7B">
        <w:rPr>
          <w:rFonts w:hint="eastAsia"/>
          <w:sz w:val="24"/>
        </w:rPr>
        <w:t>5</w:t>
      </w:r>
      <w:r w:rsidR="00DE2E7B">
        <w:rPr>
          <w:rFonts w:hint="eastAsia"/>
          <w:sz w:val="24"/>
        </w:rPr>
        <w:t>月，</w:t>
      </w:r>
      <w:r>
        <w:rPr>
          <w:rFonts w:hint="eastAsia"/>
          <w:sz w:val="24"/>
        </w:rPr>
        <w:t>根据</w:t>
      </w:r>
      <w:r>
        <w:rPr>
          <w:rFonts w:hint="eastAsia"/>
          <w:sz w:val="24"/>
        </w:rPr>
        <w:t>MTC</w:t>
      </w:r>
      <w:r>
        <w:rPr>
          <w:sz w:val="24"/>
        </w:rPr>
        <w:t>1</w:t>
      </w:r>
      <w:r>
        <w:rPr>
          <w:rFonts w:hint="eastAsia"/>
          <w:sz w:val="24"/>
        </w:rPr>
        <w:t>审定意见，修改形成报批稿。向</w:t>
      </w:r>
      <w:r>
        <w:rPr>
          <w:rFonts w:hint="eastAsia"/>
          <w:sz w:val="24"/>
        </w:rPr>
        <w:t>MTC</w:t>
      </w:r>
      <w:r>
        <w:rPr>
          <w:sz w:val="24"/>
        </w:rPr>
        <w:t>1</w:t>
      </w:r>
      <w:r>
        <w:rPr>
          <w:rFonts w:hint="eastAsia"/>
          <w:sz w:val="24"/>
        </w:rPr>
        <w:t>和总局报批。</w:t>
      </w:r>
    </w:p>
    <w:p w14:paraId="1FA8866F" w14:textId="77777777" w:rsidR="001A6EA8" w:rsidRDefault="00A5768A">
      <w:pPr>
        <w:ind w:firstLineChars="235" w:firstLine="564"/>
        <w:rPr>
          <w:sz w:val="24"/>
        </w:rPr>
      </w:pPr>
      <w:r>
        <w:rPr>
          <w:sz w:val="24"/>
        </w:rPr>
        <w:t xml:space="preserve"> </w:t>
      </w:r>
    </w:p>
    <w:p w14:paraId="1F3A1BA1" w14:textId="77777777" w:rsidR="001A6EA8" w:rsidRDefault="00A5768A">
      <w:pPr>
        <w:numPr>
          <w:ilvl w:val="0"/>
          <w:numId w:val="1"/>
        </w:numPr>
        <w:rPr>
          <w:sz w:val="24"/>
        </w:rPr>
      </w:pPr>
      <w:r>
        <w:rPr>
          <w:rFonts w:hint="eastAsia"/>
          <w:sz w:val="24"/>
        </w:rPr>
        <w:t>编制主要技术指标说明</w:t>
      </w:r>
    </w:p>
    <w:p w14:paraId="1342B806" w14:textId="77777777" w:rsidR="001A6EA8" w:rsidRDefault="00A5768A">
      <w:pPr>
        <w:numPr>
          <w:ilvl w:val="0"/>
          <w:numId w:val="3"/>
        </w:numPr>
        <w:ind w:left="0" w:firstLineChars="235" w:firstLine="564"/>
        <w:rPr>
          <w:sz w:val="24"/>
        </w:rPr>
      </w:pPr>
      <w:r>
        <w:rPr>
          <w:rFonts w:hint="eastAsia"/>
          <w:sz w:val="24"/>
        </w:rPr>
        <w:t>规范编制主要内容说明：</w:t>
      </w:r>
    </w:p>
    <w:p w14:paraId="019A6B11" w14:textId="77777777" w:rsidR="001A6EA8" w:rsidRDefault="00A5768A">
      <w:pPr>
        <w:numPr>
          <w:ilvl w:val="1"/>
          <w:numId w:val="4"/>
        </w:numPr>
        <w:ind w:left="0" w:firstLineChars="235" w:firstLine="564"/>
        <w:rPr>
          <w:sz w:val="24"/>
        </w:rPr>
      </w:pPr>
      <w:r>
        <w:rPr>
          <w:rFonts w:hAnsi="宋体" w:hint="eastAsia"/>
          <w:sz w:val="24"/>
        </w:rPr>
        <w:t>本技术规范主要参考</w:t>
      </w:r>
      <w:r>
        <w:rPr>
          <w:rFonts w:hAnsi="宋体"/>
          <w:sz w:val="24"/>
        </w:rPr>
        <w:t>NCSL RP-1</w:t>
      </w:r>
      <w:r>
        <w:rPr>
          <w:rFonts w:hAnsi="宋体"/>
          <w:sz w:val="24"/>
        </w:rPr>
        <w:t>：</w:t>
      </w:r>
      <w:r>
        <w:rPr>
          <w:rFonts w:hAnsi="宋体"/>
          <w:sz w:val="24"/>
        </w:rPr>
        <w:t>2010</w:t>
      </w:r>
      <w:r>
        <w:rPr>
          <w:rFonts w:hAnsi="宋体" w:hint="eastAsia"/>
          <w:sz w:val="24"/>
        </w:rPr>
        <w:t xml:space="preserve"> E</w:t>
      </w:r>
      <w:r>
        <w:rPr>
          <w:rFonts w:hAnsi="宋体"/>
          <w:sz w:val="24"/>
        </w:rPr>
        <w:t>stablishment and Adjustment of Calibration Intervals</w:t>
      </w:r>
      <w:r>
        <w:rPr>
          <w:rFonts w:hAnsi="宋体"/>
          <w:sz w:val="24"/>
        </w:rPr>
        <w:t>和</w:t>
      </w:r>
      <w:r>
        <w:rPr>
          <w:rFonts w:hAnsi="宋体" w:hint="eastAsia"/>
          <w:sz w:val="24"/>
        </w:rPr>
        <w:t xml:space="preserve"> </w:t>
      </w:r>
      <w:r>
        <w:rPr>
          <w:rFonts w:hAnsi="宋体"/>
          <w:sz w:val="24"/>
        </w:rPr>
        <w:t xml:space="preserve">OIML </w:t>
      </w:r>
      <w:r>
        <w:rPr>
          <w:rFonts w:hAnsi="宋体"/>
          <w:sz w:val="24"/>
        </w:rPr>
        <w:t>的</w:t>
      </w:r>
      <w:r>
        <w:rPr>
          <w:rFonts w:hAnsi="宋体" w:hint="eastAsia"/>
          <w:sz w:val="24"/>
        </w:rPr>
        <w:t>D 10</w:t>
      </w:r>
      <w:r>
        <w:rPr>
          <w:rFonts w:hAnsi="宋体"/>
          <w:sz w:val="24"/>
        </w:rPr>
        <w:t xml:space="preserve"> </w:t>
      </w:r>
      <w:r>
        <w:rPr>
          <w:rFonts w:hAnsi="宋体"/>
          <w:sz w:val="24"/>
        </w:rPr>
        <w:t>国际文件，在</w:t>
      </w:r>
      <w:r>
        <w:rPr>
          <w:rFonts w:ascii="宋体" w:hAnsi="宋体" w:hint="eastAsia"/>
          <w:sz w:val="24"/>
        </w:rPr>
        <w:t>JJF1139-2005</w:t>
      </w:r>
      <w:r>
        <w:rPr>
          <w:rFonts w:ascii="宋体" w:hAnsi="宋体" w:hint="eastAsia"/>
          <w:sz w:val="24"/>
        </w:rPr>
        <w:t>基础上，</w:t>
      </w:r>
      <w:r>
        <w:rPr>
          <w:rFonts w:hint="eastAsia"/>
          <w:bCs/>
          <w:sz w:val="24"/>
        </w:rPr>
        <w:t>结合国内计量技术机构计量器具检定周期确定的实际情况进行修订起草</w:t>
      </w:r>
      <w:r>
        <w:rPr>
          <w:rFonts w:hint="eastAsia"/>
          <w:sz w:val="24"/>
        </w:rPr>
        <w:t>；</w:t>
      </w:r>
    </w:p>
    <w:p w14:paraId="1C0A1716" w14:textId="77777777" w:rsidR="001A6EA8" w:rsidRDefault="00A5768A">
      <w:pPr>
        <w:numPr>
          <w:ilvl w:val="1"/>
          <w:numId w:val="4"/>
        </w:numPr>
        <w:ind w:left="0" w:firstLineChars="235" w:firstLine="564"/>
        <w:rPr>
          <w:bCs/>
          <w:sz w:val="24"/>
        </w:rPr>
      </w:pPr>
      <w:r>
        <w:rPr>
          <w:rFonts w:hint="eastAsia"/>
          <w:bCs/>
          <w:sz w:val="24"/>
        </w:rPr>
        <w:lastRenderedPageBreak/>
        <w:t>本技术规范规定了计量</w:t>
      </w:r>
      <w:r>
        <w:rPr>
          <w:rFonts w:hint="eastAsia"/>
          <w:bCs/>
          <w:sz w:val="24"/>
        </w:rPr>
        <w:t>器具检定周期的确定原则和方法；</w:t>
      </w:r>
    </w:p>
    <w:p w14:paraId="4A246B67" w14:textId="77777777" w:rsidR="001A6EA8" w:rsidRDefault="00A5768A">
      <w:pPr>
        <w:numPr>
          <w:ilvl w:val="1"/>
          <w:numId w:val="4"/>
        </w:numPr>
        <w:ind w:left="0" w:firstLineChars="235" w:firstLine="564"/>
        <w:rPr>
          <w:bCs/>
          <w:sz w:val="24"/>
        </w:rPr>
      </w:pPr>
      <w:r>
        <w:rPr>
          <w:rFonts w:hint="eastAsia"/>
          <w:bCs/>
          <w:sz w:val="24"/>
        </w:rPr>
        <w:t>本技术规范适用于对计量器具检定周期的确定，也为计量器具检定周期的调整提供参考；</w:t>
      </w:r>
    </w:p>
    <w:p w14:paraId="72392D89" w14:textId="77777777" w:rsidR="001A6EA8" w:rsidRDefault="00A5768A">
      <w:pPr>
        <w:numPr>
          <w:ilvl w:val="1"/>
          <w:numId w:val="4"/>
        </w:numPr>
        <w:ind w:left="0" w:firstLineChars="235" w:firstLine="564"/>
        <w:rPr>
          <w:bCs/>
          <w:sz w:val="24"/>
        </w:rPr>
      </w:pPr>
      <w:r>
        <w:rPr>
          <w:rFonts w:hint="eastAsia"/>
          <w:bCs/>
          <w:sz w:val="24"/>
        </w:rPr>
        <w:t>本技术规范给出计量器具检定周期的确定原则，包括计量性能和使用状况结合的原则、测量可靠性的原则和科学实践的原则；</w:t>
      </w:r>
    </w:p>
    <w:p w14:paraId="1694E47F" w14:textId="77777777" w:rsidR="001A6EA8" w:rsidRDefault="00A5768A">
      <w:pPr>
        <w:numPr>
          <w:ilvl w:val="1"/>
          <w:numId w:val="4"/>
        </w:numPr>
        <w:ind w:left="0" w:firstLineChars="235" w:firstLine="564"/>
        <w:rPr>
          <w:bCs/>
          <w:sz w:val="24"/>
        </w:rPr>
      </w:pPr>
      <w:r>
        <w:rPr>
          <w:rFonts w:hint="eastAsia"/>
          <w:bCs/>
          <w:sz w:val="24"/>
        </w:rPr>
        <w:t>本技术规范给出计量器具检定周期的确定方法，包括</w:t>
      </w:r>
      <w:r>
        <w:rPr>
          <w:bCs/>
          <w:sz w:val="24"/>
        </w:rPr>
        <w:t>一般间隔法、</w:t>
      </w:r>
      <w:bookmarkStart w:id="1" w:name="bookmark188"/>
      <w:bookmarkEnd w:id="1"/>
      <w:r>
        <w:rPr>
          <w:bCs/>
          <w:sz w:val="24"/>
        </w:rPr>
        <w:t>借用间隔法、</w:t>
      </w:r>
      <w:bookmarkStart w:id="2" w:name="bookmark189"/>
      <w:bookmarkEnd w:id="2"/>
      <w:r>
        <w:rPr>
          <w:bCs/>
          <w:sz w:val="24"/>
        </w:rPr>
        <w:t>工程分析法、</w:t>
      </w:r>
      <w:bookmarkStart w:id="3" w:name="bookmark190"/>
      <w:bookmarkEnd w:id="3"/>
      <w:r>
        <w:rPr>
          <w:bCs/>
          <w:sz w:val="24"/>
        </w:rPr>
        <w:t>反应法</w:t>
      </w:r>
      <w:r>
        <w:rPr>
          <w:rFonts w:hint="eastAsia"/>
          <w:bCs/>
          <w:sz w:val="24"/>
        </w:rPr>
        <w:t>和</w:t>
      </w:r>
      <w:bookmarkStart w:id="4" w:name="bookmark191"/>
      <w:bookmarkEnd w:id="4"/>
      <w:r>
        <w:rPr>
          <w:bCs/>
          <w:sz w:val="24"/>
        </w:rPr>
        <w:t>最大似然估计法</w:t>
      </w:r>
      <w:r>
        <w:rPr>
          <w:rFonts w:hint="eastAsia"/>
          <w:bCs/>
          <w:sz w:val="24"/>
        </w:rPr>
        <w:t>，其中反应法包括</w:t>
      </w:r>
      <w:r>
        <w:rPr>
          <w:bCs/>
          <w:sz w:val="24"/>
        </w:rPr>
        <w:t>简单反应法、增量反应法、间隔</w:t>
      </w:r>
      <w:r>
        <w:rPr>
          <w:rFonts w:hint="eastAsia"/>
          <w:bCs/>
          <w:sz w:val="24"/>
        </w:rPr>
        <w:t>测试</w:t>
      </w:r>
      <w:r>
        <w:rPr>
          <w:bCs/>
          <w:sz w:val="24"/>
        </w:rPr>
        <w:t>法，最大似然估计法包括经典法</w:t>
      </w:r>
      <w:bookmarkStart w:id="5" w:name="bookmark244"/>
      <w:bookmarkEnd w:id="5"/>
      <w:r>
        <w:rPr>
          <w:bCs/>
          <w:sz w:val="24"/>
        </w:rPr>
        <w:t>、二项式法、</w:t>
      </w:r>
      <w:bookmarkStart w:id="6" w:name="bookmark245"/>
      <w:bookmarkEnd w:id="6"/>
      <w:r>
        <w:rPr>
          <w:bCs/>
          <w:sz w:val="24"/>
        </w:rPr>
        <w:t>更新时间法。</w:t>
      </w:r>
    </w:p>
    <w:p w14:paraId="690E9C33" w14:textId="77777777" w:rsidR="001A6EA8" w:rsidRDefault="00A5768A">
      <w:pPr>
        <w:numPr>
          <w:ilvl w:val="1"/>
          <w:numId w:val="4"/>
        </w:numPr>
        <w:ind w:left="0" w:firstLineChars="235" w:firstLine="564"/>
        <w:rPr>
          <w:bCs/>
          <w:sz w:val="24"/>
        </w:rPr>
      </w:pPr>
      <w:r>
        <w:rPr>
          <w:rFonts w:hint="eastAsia"/>
          <w:bCs/>
          <w:sz w:val="24"/>
        </w:rPr>
        <w:t>本技术规范给出选择检定周期确定方法的考虑因素和使用建议。</w:t>
      </w:r>
    </w:p>
    <w:p w14:paraId="708B35FA" w14:textId="77777777" w:rsidR="001A6EA8" w:rsidRDefault="00A5768A">
      <w:pPr>
        <w:numPr>
          <w:ilvl w:val="1"/>
          <w:numId w:val="4"/>
        </w:numPr>
        <w:ind w:left="0" w:firstLineChars="235" w:firstLine="564"/>
        <w:rPr>
          <w:sz w:val="24"/>
        </w:rPr>
      </w:pPr>
      <w:r>
        <w:rPr>
          <w:rFonts w:hint="eastAsia"/>
          <w:bCs/>
          <w:sz w:val="24"/>
        </w:rPr>
        <w:t>本技术规范内容框架主要为：引言、范围、引用文件、术语和定义、检定周期确定原则、检定周期确定方法、方法的选择、附录</w:t>
      </w:r>
      <w:r>
        <w:rPr>
          <w:rFonts w:hint="eastAsia"/>
          <w:bCs/>
          <w:sz w:val="24"/>
        </w:rPr>
        <w:t xml:space="preserve">A </w:t>
      </w:r>
      <w:r>
        <w:rPr>
          <w:rFonts w:hint="eastAsia"/>
          <w:bCs/>
          <w:sz w:val="24"/>
        </w:rPr>
        <w:t>反应法、附录</w:t>
      </w:r>
      <w:r>
        <w:rPr>
          <w:bCs/>
          <w:sz w:val="24"/>
        </w:rPr>
        <w:t xml:space="preserve">B </w:t>
      </w:r>
      <w:r>
        <w:rPr>
          <w:rFonts w:hint="eastAsia"/>
          <w:bCs/>
          <w:sz w:val="24"/>
        </w:rPr>
        <w:t>最大似然估计法</w:t>
      </w:r>
      <w:r>
        <w:rPr>
          <w:sz w:val="24"/>
        </w:rPr>
        <w:t>-</w:t>
      </w:r>
      <w:r>
        <w:rPr>
          <w:rFonts w:hint="eastAsia"/>
          <w:sz w:val="24"/>
        </w:rPr>
        <w:t>经典法、附录</w:t>
      </w:r>
      <w:r>
        <w:rPr>
          <w:sz w:val="24"/>
        </w:rPr>
        <w:t xml:space="preserve">C </w:t>
      </w:r>
      <w:r>
        <w:rPr>
          <w:rFonts w:hint="eastAsia"/>
          <w:sz w:val="24"/>
        </w:rPr>
        <w:t>最大似然估计法</w:t>
      </w:r>
      <w:r>
        <w:rPr>
          <w:sz w:val="24"/>
        </w:rPr>
        <w:t>-</w:t>
      </w:r>
      <w:r>
        <w:rPr>
          <w:rFonts w:hint="eastAsia"/>
          <w:sz w:val="24"/>
        </w:rPr>
        <w:t>二项式法、附录</w:t>
      </w:r>
      <w:r>
        <w:rPr>
          <w:sz w:val="24"/>
        </w:rPr>
        <w:t xml:space="preserve">D </w:t>
      </w:r>
      <w:r>
        <w:rPr>
          <w:rFonts w:hint="eastAsia"/>
          <w:sz w:val="24"/>
        </w:rPr>
        <w:t>最大似然估计法</w:t>
      </w:r>
      <w:r>
        <w:rPr>
          <w:sz w:val="24"/>
        </w:rPr>
        <w:t>-</w:t>
      </w:r>
      <w:r>
        <w:rPr>
          <w:rFonts w:hint="eastAsia"/>
          <w:sz w:val="24"/>
        </w:rPr>
        <w:t>更新时间法、附录</w:t>
      </w:r>
      <w:r>
        <w:rPr>
          <w:sz w:val="24"/>
        </w:rPr>
        <w:t xml:space="preserve">E </w:t>
      </w:r>
      <w:r>
        <w:rPr>
          <w:rFonts w:hint="eastAsia"/>
          <w:sz w:val="24"/>
        </w:rPr>
        <w:t>数据类型与要求。</w:t>
      </w:r>
    </w:p>
    <w:p w14:paraId="27A2B5C7" w14:textId="77777777" w:rsidR="001A6EA8" w:rsidRDefault="00A5768A">
      <w:pPr>
        <w:numPr>
          <w:ilvl w:val="0"/>
          <w:numId w:val="3"/>
        </w:numPr>
        <w:ind w:left="0" w:firstLineChars="235" w:firstLine="564"/>
        <w:rPr>
          <w:sz w:val="24"/>
        </w:rPr>
      </w:pPr>
      <w:r>
        <w:rPr>
          <w:rFonts w:hint="eastAsia"/>
          <w:sz w:val="24"/>
        </w:rPr>
        <w:t>适用范围</w:t>
      </w:r>
    </w:p>
    <w:p w14:paraId="282453CF" w14:textId="77777777" w:rsidR="001A6EA8" w:rsidRDefault="00A5768A">
      <w:pPr>
        <w:ind w:firstLineChars="235" w:firstLine="564"/>
        <w:rPr>
          <w:rFonts w:ascii="宋体" w:hAnsi="宋体"/>
          <w:sz w:val="24"/>
        </w:rPr>
      </w:pPr>
      <w:r>
        <w:rPr>
          <w:rFonts w:ascii="宋体" w:hAnsi="宋体"/>
          <w:sz w:val="24"/>
        </w:rPr>
        <w:t>本技术规范</w:t>
      </w:r>
      <w:r>
        <w:rPr>
          <w:rFonts w:hint="eastAsia"/>
          <w:bCs/>
          <w:sz w:val="24"/>
        </w:rPr>
        <w:t>适用于对计量器具检定周期的确定，也为计量器具检定周期的调整提供参考</w:t>
      </w:r>
      <w:r>
        <w:rPr>
          <w:rFonts w:ascii="宋体" w:hAnsi="宋体"/>
          <w:sz w:val="24"/>
        </w:rPr>
        <w:t>。</w:t>
      </w:r>
    </w:p>
    <w:p w14:paraId="14AFEEBD" w14:textId="77777777" w:rsidR="001A6EA8" w:rsidRDefault="00A5768A">
      <w:pPr>
        <w:numPr>
          <w:ilvl w:val="0"/>
          <w:numId w:val="3"/>
        </w:numPr>
        <w:ind w:left="0" w:firstLineChars="235" w:firstLine="564"/>
        <w:rPr>
          <w:sz w:val="24"/>
        </w:rPr>
      </w:pPr>
      <w:r>
        <w:rPr>
          <w:rFonts w:hint="eastAsia"/>
          <w:sz w:val="24"/>
        </w:rPr>
        <w:t>现实意义</w:t>
      </w:r>
    </w:p>
    <w:p w14:paraId="3C668787" w14:textId="77777777" w:rsidR="001A6EA8" w:rsidRDefault="00A5768A">
      <w:pPr>
        <w:ind w:firstLineChars="200" w:firstLine="480"/>
        <w:rPr>
          <w:rFonts w:ascii="宋体" w:hAnsi="宋体"/>
          <w:sz w:val="24"/>
        </w:rPr>
      </w:pPr>
      <w:r>
        <w:rPr>
          <w:rFonts w:ascii="宋体" w:hAnsi="宋体" w:hint="eastAsia"/>
          <w:sz w:val="24"/>
        </w:rPr>
        <w:t>在</w:t>
      </w:r>
      <w:r>
        <w:rPr>
          <w:rFonts w:ascii="宋体" w:hAnsi="宋体" w:hint="eastAsia"/>
          <w:sz w:val="24"/>
        </w:rPr>
        <w:t>JJF1139-2005</w:t>
      </w:r>
      <w:r>
        <w:rPr>
          <w:rFonts w:ascii="宋体" w:hAnsi="宋体" w:hint="eastAsia"/>
          <w:sz w:val="24"/>
        </w:rPr>
        <w:t>《计量器具检定周期确定原则和方法》的实际应用过程中，发现规范中一些技术要求不够明确，确定方法具体步骤不够详细，不利于计量技术人员在确定计量器具检定周期工作中的实践操作；同时，规范的主要技术依据目前都已有更新版本，原技术规范内容存在不符合最新技术依据要求的情况，也难以满足目前计量标准和计量器具检定的实际情况。</w:t>
      </w:r>
    </w:p>
    <w:p w14:paraId="446A08BB" w14:textId="77777777" w:rsidR="001A6EA8" w:rsidRDefault="00A5768A">
      <w:pPr>
        <w:ind w:firstLineChars="200" w:firstLine="480"/>
        <w:rPr>
          <w:rFonts w:ascii="Symbol" w:hAnsi="Symbol"/>
          <w:sz w:val="24"/>
        </w:rPr>
      </w:pPr>
      <w:r>
        <w:rPr>
          <w:rFonts w:ascii="宋体" w:hAnsi="宋体" w:hint="eastAsia"/>
          <w:sz w:val="24"/>
        </w:rPr>
        <w:t>为适应现阶段计量器具的检定工作，对</w:t>
      </w:r>
      <w:r>
        <w:rPr>
          <w:rFonts w:ascii="宋体" w:hAnsi="宋体" w:hint="eastAsia"/>
          <w:sz w:val="24"/>
        </w:rPr>
        <w:t>JJF1139</w:t>
      </w:r>
      <w:r>
        <w:rPr>
          <w:rFonts w:ascii="宋体" w:hAnsi="宋体" w:hint="eastAsia"/>
          <w:sz w:val="24"/>
        </w:rPr>
        <w:t>规范进行修订，完善检定周期的确定原则，细化检定周期确定方法的具体内容，补充方法选择的考虑因素与建议，</w:t>
      </w:r>
      <w:r>
        <w:rPr>
          <w:rFonts w:hAnsi="宋体" w:hint="eastAsia"/>
          <w:sz w:val="24"/>
        </w:rPr>
        <w:t>为计量管理部门和计量检定规程</w:t>
      </w:r>
      <w:r>
        <w:rPr>
          <w:rFonts w:hAnsi="宋体" w:hint="eastAsia"/>
          <w:sz w:val="24"/>
        </w:rPr>
        <w:t>的编写人员提供一个可操作性更强的规范，科学、合理地指导计量器具检定周期的工作，以保证计量器具在规定的检定周期内量值的准确可靠。</w:t>
      </w:r>
    </w:p>
    <w:p w14:paraId="32DDBABC" w14:textId="77777777" w:rsidR="001A6EA8" w:rsidRDefault="00A5768A">
      <w:pPr>
        <w:numPr>
          <w:ilvl w:val="0"/>
          <w:numId w:val="3"/>
        </w:numPr>
        <w:ind w:left="0" w:firstLineChars="235" w:firstLine="564"/>
        <w:rPr>
          <w:sz w:val="24"/>
        </w:rPr>
      </w:pPr>
      <w:r>
        <w:rPr>
          <w:sz w:val="24"/>
        </w:rPr>
        <w:t>检定</w:t>
      </w:r>
      <w:r>
        <w:rPr>
          <w:rFonts w:hint="eastAsia"/>
          <w:sz w:val="24"/>
        </w:rPr>
        <w:t>周期的</w:t>
      </w:r>
      <w:r>
        <w:rPr>
          <w:sz w:val="24"/>
        </w:rPr>
        <w:t>确定原则</w:t>
      </w:r>
    </w:p>
    <w:p w14:paraId="7F519F1A" w14:textId="77777777" w:rsidR="001A6EA8" w:rsidRDefault="00A5768A">
      <w:pPr>
        <w:ind w:firstLineChars="200" w:firstLine="480"/>
        <w:rPr>
          <w:rFonts w:ascii="宋体" w:hAnsi="宋体"/>
          <w:sz w:val="24"/>
        </w:rPr>
      </w:pPr>
      <w:r>
        <w:rPr>
          <w:rFonts w:ascii="宋体" w:hAnsi="宋体" w:hint="eastAsia"/>
          <w:sz w:val="24"/>
        </w:rPr>
        <w:t>(1)</w:t>
      </w:r>
      <w:r>
        <w:rPr>
          <w:rFonts w:ascii="宋体" w:hAnsi="宋体" w:hint="eastAsia"/>
          <w:sz w:val="24"/>
        </w:rPr>
        <w:t>计量性能和使用状况结合的原则。确定计量器具的检定周期时，应根据计量器具的特征（如计量器具的工作原理、结构型式、所用材质等）、性能要求（如最大允许</w:t>
      </w:r>
      <w:r>
        <w:rPr>
          <w:rFonts w:ascii="宋体" w:hAnsi="宋体" w:hint="eastAsia"/>
          <w:sz w:val="24"/>
        </w:rPr>
        <w:lastRenderedPageBreak/>
        <w:t>误差、测量重复性、稳定性等）和使用情况（如环境条件、使用频率、维护状况等），综合全面地分析考虑。</w:t>
      </w:r>
    </w:p>
    <w:p w14:paraId="79519C5B" w14:textId="77777777" w:rsidR="001A6EA8" w:rsidRDefault="00A5768A">
      <w:pPr>
        <w:ind w:firstLineChars="200" w:firstLine="480"/>
        <w:rPr>
          <w:rFonts w:ascii="宋体" w:hAnsi="宋体"/>
          <w:sz w:val="24"/>
        </w:rPr>
      </w:pPr>
      <w:r>
        <w:rPr>
          <w:rFonts w:ascii="宋体" w:hAnsi="宋体" w:hint="eastAsia"/>
          <w:sz w:val="24"/>
        </w:rPr>
        <w:t>(2)</w:t>
      </w:r>
      <w:r>
        <w:rPr>
          <w:rFonts w:ascii="宋体" w:hAnsi="宋体" w:hint="eastAsia"/>
          <w:sz w:val="24"/>
        </w:rPr>
        <w:t>测量可靠性的原则。确定计量器具的检定周期时，应能使计量器具满足其使用预期的测量可靠性目标（计量器具的测量可靠性</w:t>
      </w:r>
      <w:r>
        <w:rPr>
          <w:rFonts w:ascii="宋体" w:hAnsi="宋体" w:hint="eastAsia"/>
          <w:sz w:val="24"/>
        </w:rPr>
        <w:t>目标一般不低于</w:t>
      </w:r>
      <w:r>
        <w:rPr>
          <w:rFonts w:ascii="宋体" w:hAnsi="宋体"/>
          <w:sz w:val="24"/>
        </w:rPr>
        <w:t>90%</w:t>
      </w:r>
      <w:r>
        <w:rPr>
          <w:rFonts w:ascii="宋体" w:hAnsi="宋体" w:hint="eastAsia"/>
          <w:sz w:val="24"/>
        </w:rPr>
        <w:t>），且能实现其最佳测量不确定度。</w:t>
      </w:r>
    </w:p>
    <w:p w14:paraId="4AE84F43" w14:textId="77777777" w:rsidR="001A6EA8" w:rsidRDefault="00A5768A">
      <w:pPr>
        <w:ind w:firstLineChars="200" w:firstLine="480"/>
        <w:rPr>
          <w:rFonts w:ascii="宋体" w:hAnsi="宋体"/>
          <w:sz w:val="24"/>
        </w:rPr>
      </w:pPr>
      <w:r>
        <w:rPr>
          <w:rFonts w:ascii="宋体" w:hAnsi="宋体" w:hint="eastAsia"/>
          <w:sz w:val="24"/>
        </w:rPr>
        <w:t>(3)</w:t>
      </w:r>
      <w:r>
        <w:rPr>
          <w:rFonts w:ascii="宋体" w:hAnsi="宋体" w:hint="eastAsia"/>
          <w:sz w:val="24"/>
        </w:rPr>
        <w:t>科学实践的原则。确定计量器具的检定周期时，应使用科学的方法，积累充足的实验数据，经分析研究后确定。可以选用规范中的某一种或某几种方法，根据不同计量器具特点选择合适的数据类型进行。</w:t>
      </w:r>
    </w:p>
    <w:p w14:paraId="4D358F16" w14:textId="77777777" w:rsidR="001A6EA8" w:rsidRDefault="00A5768A">
      <w:pPr>
        <w:numPr>
          <w:ilvl w:val="0"/>
          <w:numId w:val="3"/>
        </w:numPr>
        <w:ind w:left="0" w:firstLineChars="235" w:firstLine="564"/>
        <w:rPr>
          <w:sz w:val="24"/>
        </w:rPr>
      </w:pPr>
      <w:r>
        <w:rPr>
          <w:sz w:val="24"/>
        </w:rPr>
        <w:t>检定周期</w:t>
      </w:r>
      <w:r>
        <w:rPr>
          <w:rFonts w:hint="eastAsia"/>
          <w:sz w:val="24"/>
        </w:rPr>
        <w:t>的</w:t>
      </w:r>
      <w:r>
        <w:rPr>
          <w:sz w:val="24"/>
        </w:rPr>
        <w:t>确定</w:t>
      </w:r>
      <w:r>
        <w:rPr>
          <w:rFonts w:hint="eastAsia"/>
          <w:sz w:val="24"/>
        </w:rPr>
        <w:t>方法</w:t>
      </w:r>
    </w:p>
    <w:p w14:paraId="1ABF1F5A" w14:textId="77777777" w:rsidR="001A6EA8" w:rsidRDefault="00A5768A">
      <w:pPr>
        <w:ind w:firstLineChars="200" w:firstLine="480"/>
        <w:rPr>
          <w:rFonts w:ascii="宋体" w:hAnsi="宋体"/>
          <w:sz w:val="24"/>
        </w:rPr>
      </w:pPr>
      <w:r>
        <w:rPr>
          <w:rFonts w:ascii="宋体" w:hAnsi="宋体" w:hint="eastAsia"/>
          <w:sz w:val="24"/>
        </w:rPr>
        <w:t xml:space="preserve">(1) </w:t>
      </w:r>
      <w:r>
        <w:rPr>
          <w:rFonts w:ascii="宋体" w:hAnsi="宋体" w:hint="eastAsia"/>
          <w:sz w:val="24"/>
        </w:rPr>
        <w:t>一般间隔法：</w:t>
      </w:r>
      <w:r>
        <w:rPr>
          <w:rStyle w:val="translated-span"/>
          <w:rFonts w:ascii="宋体" w:hAnsi="宋体" w:hint="eastAsia"/>
          <w:sz w:val="24"/>
        </w:rPr>
        <w:t>适用于新型计量仪器，</w:t>
      </w:r>
      <w:proofErr w:type="gramStart"/>
      <w:r>
        <w:rPr>
          <w:rStyle w:val="translated-span"/>
          <w:rFonts w:ascii="宋体" w:hAnsi="宋体" w:hint="eastAsia"/>
          <w:sz w:val="24"/>
        </w:rPr>
        <w:t>当</w:t>
      </w:r>
      <w:r>
        <w:rPr>
          <w:rStyle w:val="translated-span"/>
          <w:rFonts w:ascii="宋体" w:hAnsi="宋体"/>
          <w:sz w:val="24"/>
        </w:rPr>
        <w:t>相同</w:t>
      </w:r>
      <w:proofErr w:type="gramEnd"/>
      <w:r>
        <w:rPr>
          <w:rStyle w:val="translated-span"/>
          <w:rFonts w:ascii="宋体" w:hAnsi="宋体"/>
          <w:sz w:val="24"/>
        </w:rPr>
        <w:t>种类</w:t>
      </w:r>
      <w:r>
        <w:rPr>
          <w:rStyle w:val="translated-span"/>
          <w:rFonts w:ascii="宋体" w:hAnsi="宋体" w:hint="eastAsia"/>
          <w:sz w:val="24"/>
        </w:rPr>
        <w:t>的仪器数量</w:t>
      </w:r>
      <w:r>
        <w:rPr>
          <w:rStyle w:val="translated-span"/>
          <w:rFonts w:ascii="宋体" w:hAnsi="宋体"/>
          <w:sz w:val="24"/>
        </w:rPr>
        <w:t>很少、或</w:t>
      </w:r>
      <w:r>
        <w:rPr>
          <w:rStyle w:val="translated-span"/>
          <w:rFonts w:ascii="宋体" w:hAnsi="宋体" w:hint="eastAsia"/>
          <w:sz w:val="24"/>
        </w:rPr>
        <w:t>者不</w:t>
      </w:r>
      <w:r>
        <w:rPr>
          <w:rStyle w:val="translated-span"/>
          <w:rFonts w:ascii="宋体" w:hAnsi="宋体"/>
          <w:sz w:val="24"/>
        </w:rPr>
        <w:t>强调控制</w:t>
      </w:r>
      <w:r>
        <w:rPr>
          <w:rStyle w:val="translated-span"/>
          <w:rFonts w:ascii="宋体" w:hAnsi="宋体" w:hint="eastAsia"/>
          <w:sz w:val="24"/>
        </w:rPr>
        <w:t>仪器的</w:t>
      </w:r>
      <w:r>
        <w:rPr>
          <w:rStyle w:val="translated-span"/>
          <w:rFonts w:ascii="宋体" w:hAnsi="宋体"/>
          <w:sz w:val="24"/>
        </w:rPr>
        <w:t>测量可靠性、或者</w:t>
      </w:r>
      <w:r>
        <w:rPr>
          <w:rStyle w:val="translated-span"/>
          <w:rFonts w:ascii="宋体" w:hAnsi="宋体" w:hint="eastAsia"/>
          <w:sz w:val="24"/>
        </w:rPr>
        <w:t>当其他方法均不可用</w:t>
      </w:r>
      <w:r>
        <w:rPr>
          <w:rStyle w:val="translated-span"/>
          <w:rFonts w:ascii="宋体" w:hAnsi="宋体"/>
          <w:sz w:val="24"/>
        </w:rPr>
        <w:t>时，</w:t>
      </w:r>
      <w:r>
        <w:rPr>
          <w:rStyle w:val="translated-span"/>
          <w:rFonts w:ascii="宋体" w:hAnsi="宋体" w:hint="eastAsia"/>
          <w:sz w:val="24"/>
        </w:rPr>
        <w:t>对所有仪器采用统一的周期作为初始检定周期</w:t>
      </w:r>
      <w:r>
        <w:rPr>
          <w:rStyle w:val="translated-span"/>
          <w:rFonts w:ascii="宋体" w:hAnsi="宋体"/>
          <w:sz w:val="24"/>
        </w:rPr>
        <w:t>。</w:t>
      </w:r>
    </w:p>
    <w:p w14:paraId="312289CD" w14:textId="77777777" w:rsidR="001A6EA8" w:rsidRDefault="00A5768A">
      <w:pPr>
        <w:ind w:firstLineChars="200" w:firstLine="480"/>
        <w:rPr>
          <w:rFonts w:ascii="宋体" w:hAnsi="宋体"/>
          <w:sz w:val="24"/>
        </w:rPr>
      </w:pPr>
      <w:r>
        <w:rPr>
          <w:rFonts w:ascii="宋体" w:hAnsi="宋体" w:hint="eastAsia"/>
          <w:sz w:val="24"/>
        </w:rPr>
        <w:t>(2)</w:t>
      </w:r>
      <w:r>
        <w:rPr>
          <w:rFonts w:ascii="宋体" w:hAnsi="宋体"/>
          <w:sz w:val="24"/>
        </w:rPr>
        <w:t xml:space="preserve"> </w:t>
      </w:r>
      <w:r>
        <w:rPr>
          <w:rFonts w:ascii="宋体" w:hAnsi="宋体" w:hint="eastAsia"/>
          <w:sz w:val="24"/>
        </w:rPr>
        <w:t>借用间隔法：</w:t>
      </w:r>
      <w:r>
        <w:rPr>
          <w:rStyle w:val="translated-span"/>
          <w:rFonts w:ascii="宋体" w:hAnsi="宋体" w:hint="eastAsia"/>
          <w:sz w:val="24"/>
        </w:rPr>
        <w:t>如需确定检定周期的仪器在测量</w:t>
      </w:r>
      <w:r>
        <w:rPr>
          <w:rStyle w:val="translated-span"/>
          <w:rFonts w:ascii="宋体" w:hAnsi="宋体"/>
          <w:sz w:val="24"/>
        </w:rPr>
        <w:t>可靠性目标、</w:t>
      </w:r>
      <w:r>
        <w:rPr>
          <w:rStyle w:val="translated-span"/>
          <w:rFonts w:ascii="宋体" w:hAnsi="宋体" w:hint="eastAsia"/>
          <w:sz w:val="24"/>
        </w:rPr>
        <w:t>检定</w:t>
      </w:r>
      <w:r>
        <w:rPr>
          <w:rStyle w:val="translated-span"/>
          <w:rFonts w:ascii="宋体" w:hAnsi="宋体"/>
          <w:sz w:val="24"/>
        </w:rPr>
        <w:t>程序、使用</w:t>
      </w:r>
      <w:r>
        <w:rPr>
          <w:rStyle w:val="translated-span"/>
          <w:rFonts w:ascii="宋体" w:hAnsi="宋体" w:hint="eastAsia"/>
          <w:sz w:val="24"/>
        </w:rPr>
        <w:t>和维护方法</w:t>
      </w:r>
      <w:r>
        <w:rPr>
          <w:rStyle w:val="translated-span"/>
          <w:rFonts w:ascii="宋体" w:hAnsi="宋体"/>
          <w:sz w:val="24"/>
        </w:rPr>
        <w:t>、环境</w:t>
      </w:r>
      <w:r>
        <w:rPr>
          <w:rStyle w:val="translated-span"/>
          <w:rFonts w:ascii="宋体" w:hAnsi="宋体" w:hint="eastAsia"/>
          <w:sz w:val="24"/>
        </w:rPr>
        <w:t>要求</w:t>
      </w:r>
      <w:r>
        <w:rPr>
          <w:rStyle w:val="translated-span"/>
          <w:rFonts w:ascii="宋体" w:hAnsi="宋体"/>
          <w:sz w:val="24"/>
        </w:rPr>
        <w:t>等方面</w:t>
      </w:r>
      <w:r>
        <w:rPr>
          <w:rStyle w:val="translated-span"/>
          <w:rFonts w:ascii="宋体" w:hAnsi="宋体" w:hint="eastAsia"/>
          <w:sz w:val="24"/>
        </w:rPr>
        <w:t>与已确定检定周期的仪器一致，可“借用”其周期作为该仪器的初始检定周期，也可使用被借用仪器的检定历史数据用于确定该仪器的检定周期。</w:t>
      </w:r>
    </w:p>
    <w:p w14:paraId="150D499A" w14:textId="77777777" w:rsidR="001A6EA8" w:rsidRDefault="00A5768A">
      <w:pPr>
        <w:ind w:firstLineChars="200" w:firstLine="480"/>
        <w:rPr>
          <w:rFonts w:ascii="宋体" w:hAnsi="宋体"/>
          <w:sz w:val="24"/>
        </w:rPr>
      </w:pPr>
      <w:r>
        <w:rPr>
          <w:rFonts w:ascii="宋体" w:hAnsi="宋体"/>
          <w:sz w:val="24"/>
        </w:rPr>
        <w:t>(</w:t>
      </w:r>
      <w:r>
        <w:rPr>
          <w:rFonts w:ascii="宋体" w:hAnsi="宋体" w:hint="eastAsia"/>
          <w:sz w:val="24"/>
        </w:rPr>
        <w:t>3</w:t>
      </w:r>
      <w:r>
        <w:rPr>
          <w:rFonts w:ascii="宋体" w:hAnsi="宋体"/>
          <w:sz w:val="24"/>
        </w:rPr>
        <w:t xml:space="preserve">) </w:t>
      </w:r>
      <w:r>
        <w:rPr>
          <w:rFonts w:ascii="宋体" w:hAnsi="宋体" w:hint="eastAsia"/>
          <w:sz w:val="24"/>
        </w:rPr>
        <w:t>工程分析法：</w:t>
      </w:r>
      <w:r>
        <w:rPr>
          <w:rStyle w:val="translated-span"/>
          <w:rFonts w:ascii="宋体" w:hAnsi="宋体" w:hint="eastAsia"/>
          <w:sz w:val="24"/>
        </w:rPr>
        <w:t>工程分析法基于仪器设备的稳定性和其他工程参数，而非检定历史数据，故在确定初始检定周期的时候较为有效，但同时对技术人员的专业知识和经验要求较高</w:t>
      </w:r>
      <w:r>
        <w:rPr>
          <w:rFonts w:ascii="宋体" w:hAnsi="宋体" w:hint="eastAsia"/>
          <w:sz w:val="24"/>
        </w:rPr>
        <w:t>。</w:t>
      </w:r>
    </w:p>
    <w:p w14:paraId="39CD6167" w14:textId="77777777" w:rsidR="001A6EA8" w:rsidRDefault="00A5768A">
      <w:pPr>
        <w:ind w:firstLineChars="200" w:firstLine="480"/>
        <w:rPr>
          <w:rFonts w:ascii="宋体" w:hAnsi="宋体"/>
          <w:sz w:val="24"/>
        </w:rPr>
      </w:pPr>
      <w:r>
        <w:rPr>
          <w:rFonts w:ascii="宋体" w:hAnsi="宋体"/>
          <w:sz w:val="24"/>
        </w:rPr>
        <w:t>(</w:t>
      </w:r>
      <w:r>
        <w:rPr>
          <w:rFonts w:ascii="宋体" w:hAnsi="宋体" w:hint="eastAsia"/>
          <w:sz w:val="24"/>
        </w:rPr>
        <w:t>4</w:t>
      </w:r>
      <w:r>
        <w:rPr>
          <w:rFonts w:ascii="宋体" w:hAnsi="宋体"/>
          <w:sz w:val="24"/>
        </w:rPr>
        <w:t xml:space="preserve">) </w:t>
      </w:r>
      <w:r>
        <w:rPr>
          <w:rFonts w:ascii="宋体" w:hAnsi="宋体" w:hint="eastAsia"/>
          <w:sz w:val="24"/>
        </w:rPr>
        <w:t>反应法：</w:t>
      </w:r>
      <w:r>
        <w:rPr>
          <w:rStyle w:val="translated-span"/>
          <w:rFonts w:ascii="宋体" w:hAnsi="宋体" w:hint="eastAsia"/>
          <w:sz w:val="24"/>
        </w:rPr>
        <w:t>当需要对初始检定周期进行调整时，最简单的</w:t>
      </w:r>
      <w:r>
        <w:rPr>
          <w:rStyle w:val="translated-span"/>
          <w:rFonts w:ascii="宋体" w:hAnsi="宋体"/>
          <w:sz w:val="24"/>
        </w:rPr>
        <w:t>方法是根据预定算法对</w:t>
      </w:r>
      <w:r>
        <w:rPr>
          <w:rStyle w:val="translated-span"/>
          <w:rFonts w:ascii="宋体" w:hAnsi="宋体" w:hint="eastAsia"/>
          <w:sz w:val="24"/>
        </w:rPr>
        <w:t>测量</w:t>
      </w:r>
      <w:r>
        <w:rPr>
          <w:rStyle w:val="translated-span"/>
          <w:rFonts w:ascii="宋体" w:hAnsi="宋体"/>
          <w:sz w:val="24"/>
        </w:rPr>
        <w:t>结果</w:t>
      </w:r>
      <w:r>
        <w:rPr>
          <w:rStyle w:val="translated-span"/>
          <w:rFonts w:ascii="宋体" w:hAnsi="宋体" w:hint="eastAsia"/>
          <w:sz w:val="24"/>
        </w:rPr>
        <w:t>做出</w:t>
      </w:r>
      <w:r>
        <w:rPr>
          <w:rStyle w:val="translated-span"/>
          <w:rFonts w:ascii="宋体" w:hAnsi="宋体"/>
          <w:sz w:val="24"/>
        </w:rPr>
        <w:t>“</w:t>
      </w:r>
      <w:r>
        <w:rPr>
          <w:rStyle w:val="translated-span"/>
          <w:rFonts w:ascii="宋体" w:hAnsi="宋体"/>
          <w:sz w:val="24"/>
        </w:rPr>
        <w:t>反应</w:t>
      </w:r>
      <w:r>
        <w:rPr>
          <w:rStyle w:val="translated-span"/>
          <w:rFonts w:ascii="宋体" w:hAnsi="宋体"/>
          <w:sz w:val="24"/>
        </w:rPr>
        <w:t>”</w:t>
      </w:r>
      <w:r>
        <w:rPr>
          <w:rStyle w:val="translated-span"/>
          <w:rFonts w:ascii="宋体" w:hAnsi="宋体"/>
          <w:sz w:val="24"/>
        </w:rPr>
        <w:t>。</w:t>
      </w:r>
      <w:r>
        <w:rPr>
          <w:rStyle w:val="translated-span"/>
          <w:rFonts w:ascii="宋体" w:hAnsi="宋体" w:hint="eastAsia"/>
          <w:sz w:val="24"/>
        </w:rPr>
        <w:t>反应</w:t>
      </w:r>
      <w:r>
        <w:rPr>
          <w:rStyle w:val="translated-span"/>
          <w:rFonts w:ascii="宋体" w:hAnsi="宋体"/>
          <w:sz w:val="24"/>
        </w:rPr>
        <w:t>法</w:t>
      </w:r>
      <w:r>
        <w:rPr>
          <w:rStyle w:val="translated-span"/>
          <w:rFonts w:ascii="宋体" w:hAnsi="宋体" w:hint="eastAsia"/>
          <w:sz w:val="24"/>
        </w:rPr>
        <w:t>是</w:t>
      </w:r>
      <w:r>
        <w:rPr>
          <w:rStyle w:val="translated-span"/>
          <w:rFonts w:ascii="宋体" w:hAnsi="宋体"/>
          <w:sz w:val="24"/>
        </w:rPr>
        <w:t>对最近</w:t>
      </w:r>
      <w:r>
        <w:rPr>
          <w:rStyle w:val="translated-span"/>
          <w:rFonts w:ascii="宋体" w:hAnsi="宋体" w:hint="eastAsia"/>
          <w:sz w:val="24"/>
        </w:rPr>
        <w:t>的检定</w:t>
      </w:r>
      <w:r>
        <w:rPr>
          <w:rStyle w:val="translated-span"/>
          <w:rFonts w:ascii="宋体" w:hAnsi="宋体"/>
          <w:sz w:val="24"/>
        </w:rPr>
        <w:t>数据</w:t>
      </w:r>
      <w:r>
        <w:rPr>
          <w:rStyle w:val="translated-span"/>
          <w:rFonts w:ascii="宋体" w:hAnsi="宋体" w:hint="eastAsia"/>
          <w:sz w:val="24"/>
        </w:rPr>
        <w:t>做出</w:t>
      </w:r>
      <w:r>
        <w:rPr>
          <w:rStyle w:val="translated-span"/>
          <w:rFonts w:ascii="宋体" w:hAnsi="宋体"/>
          <w:sz w:val="24"/>
        </w:rPr>
        <w:t>反应，而不试图</w:t>
      </w:r>
      <w:r>
        <w:rPr>
          <w:rStyle w:val="translated-span"/>
          <w:rFonts w:ascii="宋体" w:hAnsi="宋体" w:hint="eastAsia"/>
          <w:sz w:val="24"/>
        </w:rPr>
        <w:t>建立模型</w:t>
      </w:r>
      <w:r>
        <w:rPr>
          <w:rStyle w:val="translated-span"/>
          <w:rFonts w:ascii="宋体" w:hAnsi="宋体"/>
          <w:sz w:val="24"/>
        </w:rPr>
        <w:t>或预测测量可靠性随时间</w:t>
      </w:r>
      <w:r>
        <w:rPr>
          <w:rStyle w:val="translated-span"/>
          <w:rFonts w:ascii="宋体" w:hAnsi="宋体" w:hint="eastAsia"/>
          <w:sz w:val="24"/>
        </w:rPr>
        <w:t>发生</w:t>
      </w:r>
      <w:r>
        <w:rPr>
          <w:rStyle w:val="translated-span"/>
          <w:rFonts w:ascii="宋体" w:hAnsi="宋体"/>
          <w:sz w:val="24"/>
        </w:rPr>
        <w:t>的变化。</w:t>
      </w:r>
      <w:r>
        <w:rPr>
          <w:rStyle w:val="translated-span"/>
          <w:rFonts w:ascii="宋体" w:hAnsi="宋体" w:hint="eastAsia"/>
          <w:sz w:val="24"/>
        </w:rPr>
        <w:t>常用的反应法有</w:t>
      </w:r>
      <w:r>
        <w:rPr>
          <w:rStyle w:val="translated-span"/>
          <w:rFonts w:ascii="宋体" w:hAnsi="宋体"/>
          <w:sz w:val="24"/>
        </w:rPr>
        <w:t>简单反应法、增量反应法、间隔</w:t>
      </w:r>
      <w:r>
        <w:rPr>
          <w:rStyle w:val="translated-span"/>
          <w:rFonts w:ascii="宋体" w:hAnsi="宋体" w:hint="eastAsia"/>
          <w:sz w:val="24"/>
        </w:rPr>
        <w:t>测试</w:t>
      </w:r>
      <w:r>
        <w:rPr>
          <w:rStyle w:val="translated-span"/>
          <w:rFonts w:ascii="宋体" w:hAnsi="宋体"/>
          <w:sz w:val="24"/>
        </w:rPr>
        <w:t>法</w:t>
      </w:r>
      <w:r>
        <w:rPr>
          <w:rFonts w:ascii="宋体" w:hAnsi="宋体" w:hint="eastAsia"/>
          <w:sz w:val="24"/>
        </w:rPr>
        <w:t>。</w:t>
      </w:r>
    </w:p>
    <w:p w14:paraId="171E78B3" w14:textId="77777777" w:rsidR="001A6EA8" w:rsidRDefault="00A5768A">
      <w:pPr>
        <w:ind w:firstLineChars="200" w:firstLine="480"/>
        <w:rPr>
          <w:rFonts w:ascii="宋体" w:hAnsi="宋体"/>
          <w:sz w:val="24"/>
        </w:rPr>
      </w:pPr>
      <w:r>
        <w:rPr>
          <w:rFonts w:ascii="宋体" w:hAnsi="宋体" w:hint="eastAsia"/>
          <w:sz w:val="24"/>
        </w:rPr>
        <w:t xml:space="preserve">(5) </w:t>
      </w:r>
      <w:r>
        <w:rPr>
          <w:rFonts w:ascii="宋体" w:hAnsi="宋体" w:hint="eastAsia"/>
          <w:sz w:val="24"/>
        </w:rPr>
        <w:t>最大似然估计（</w:t>
      </w:r>
      <w:r>
        <w:rPr>
          <w:rFonts w:ascii="宋体" w:hAnsi="宋体" w:hint="eastAsia"/>
          <w:sz w:val="24"/>
        </w:rPr>
        <w:t>MLE</w:t>
      </w:r>
      <w:r>
        <w:rPr>
          <w:rFonts w:ascii="宋体" w:hAnsi="宋体" w:hint="eastAsia"/>
          <w:sz w:val="24"/>
        </w:rPr>
        <w:t>）法：最大似然估计法是</w:t>
      </w:r>
      <w:r>
        <w:rPr>
          <w:rFonts w:ascii="宋体" w:hAnsi="宋体"/>
          <w:sz w:val="24"/>
        </w:rPr>
        <w:t>根据</w:t>
      </w:r>
      <w:r>
        <w:rPr>
          <w:rFonts w:ascii="宋体" w:hAnsi="宋体" w:hint="eastAsia"/>
          <w:sz w:val="24"/>
        </w:rPr>
        <w:t>检定</w:t>
      </w:r>
      <w:r>
        <w:rPr>
          <w:rFonts w:ascii="宋体" w:hAnsi="宋体"/>
          <w:sz w:val="24"/>
        </w:rPr>
        <w:t>历史</w:t>
      </w:r>
      <w:r>
        <w:rPr>
          <w:rFonts w:ascii="宋体" w:hAnsi="宋体" w:hint="eastAsia"/>
          <w:sz w:val="24"/>
        </w:rPr>
        <w:t>数据</w:t>
      </w:r>
      <w:r>
        <w:rPr>
          <w:rFonts w:ascii="宋体" w:hAnsi="宋体"/>
          <w:sz w:val="24"/>
        </w:rPr>
        <w:t>或其他</w:t>
      </w:r>
      <w:r>
        <w:rPr>
          <w:rFonts w:ascii="宋体" w:hAnsi="宋体" w:hint="eastAsia"/>
          <w:sz w:val="24"/>
        </w:rPr>
        <w:t>运行</w:t>
      </w:r>
      <w:r>
        <w:rPr>
          <w:rFonts w:ascii="宋体" w:hAnsi="宋体"/>
          <w:sz w:val="24"/>
        </w:rPr>
        <w:t>数据</w:t>
      </w:r>
      <w:r>
        <w:rPr>
          <w:rFonts w:ascii="宋体" w:hAnsi="宋体" w:hint="eastAsia"/>
          <w:sz w:val="24"/>
        </w:rPr>
        <w:t>进行</w:t>
      </w:r>
      <w:r>
        <w:rPr>
          <w:rFonts w:ascii="宋体" w:hAnsi="宋体"/>
          <w:sz w:val="24"/>
        </w:rPr>
        <w:t>可靠性模型参数</w:t>
      </w:r>
      <w:r>
        <w:rPr>
          <w:rFonts w:ascii="宋体" w:hAnsi="宋体" w:hint="eastAsia"/>
          <w:sz w:val="24"/>
        </w:rPr>
        <w:t>估算</w:t>
      </w:r>
      <w:r>
        <w:rPr>
          <w:rFonts w:ascii="宋体" w:hAnsi="宋体"/>
          <w:sz w:val="24"/>
        </w:rPr>
        <w:t>的一种方法。</w:t>
      </w:r>
      <w:r>
        <w:rPr>
          <w:rFonts w:ascii="宋体" w:hAnsi="宋体" w:hint="eastAsia"/>
          <w:sz w:val="24"/>
        </w:rPr>
        <w:t>MLE</w:t>
      </w:r>
      <w:r>
        <w:rPr>
          <w:rFonts w:ascii="宋体" w:hAnsi="宋体"/>
          <w:sz w:val="24"/>
        </w:rPr>
        <w:t>法在达到正确周期</w:t>
      </w:r>
      <w:r>
        <w:rPr>
          <w:rFonts w:ascii="宋体" w:hAnsi="宋体" w:hint="eastAsia"/>
          <w:sz w:val="24"/>
        </w:rPr>
        <w:t>方面</w:t>
      </w:r>
      <w:r>
        <w:rPr>
          <w:rFonts w:ascii="宋体" w:hAnsi="宋体"/>
          <w:sz w:val="24"/>
        </w:rPr>
        <w:t>明显优于反应法，</w:t>
      </w:r>
      <w:r>
        <w:rPr>
          <w:rFonts w:ascii="宋体" w:hAnsi="宋体" w:hint="eastAsia"/>
          <w:sz w:val="24"/>
        </w:rPr>
        <w:t>但</w:t>
      </w:r>
      <w:r>
        <w:rPr>
          <w:rFonts w:ascii="宋体" w:hAnsi="宋体"/>
          <w:sz w:val="24"/>
        </w:rPr>
        <w:t>需要大量的数据进行分析</w:t>
      </w:r>
      <w:r>
        <w:rPr>
          <w:rFonts w:ascii="宋体" w:hAnsi="宋体" w:hint="eastAsia"/>
          <w:sz w:val="24"/>
        </w:rPr>
        <w:t>，所需的试验次数也随累积数据的不同类型而异。目前常见的</w:t>
      </w:r>
      <w:r>
        <w:rPr>
          <w:rFonts w:ascii="宋体" w:hAnsi="宋体" w:hint="eastAsia"/>
          <w:sz w:val="24"/>
        </w:rPr>
        <w:t>MLE</w:t>
      </w:r>
      <w:r>
        <w:rPr>
          <w:rFonts w:ascii="宋体" w:hAnsi="宋体" w:hint="eastAsia"/>
          <w:sz w:val="24"/>
        </w:rPr>
        <w:t>法有以下三种：</w:t>
      </w:r>
      <w:r>
        <w:rPr>
          <w:rFonts w:ascii="宋体" w:hAnsi="宋体"/>
          <w:sz w:val="24"/>
        </w:rPr>
        <w:t>经典法、二项式法、更新时间法</w:t>
      </w:r>
      <w:r>
        <w:rPr>
          <w:rFonts w:ascii="宋体" w:hAnsi="宋体" w:hint="eastAsia"/>
          <w:sz w:val="24"/>
        </w:rPr>
        <w:t>。</w:t>
      </w:r>
    </w:p>
    <w:p w14:paraId="07091B0F" w14:textId="77777777" w:rsidR="001A6EA8" w:rsidRDefault="00A5768A">
      <w:pPr>
        <w:numPr>
          <w:ilvl w:val="0"/>
          <w:numId w:val="3"/>
        </w:numPr>
        <w:ind w:left="0" w:firstLineChars="235" w:firstLine="564"/>
        <w:rPr>
          <w:sz w:val="24"/>
        </w:rPr>
      </w:pPr>
      <w:r>
        <w:rPr>
          <w:rFonts w:hint="eastAsia"/>
          <w:sz w:val="24"/>
        </w:rPr>
        <w:t>方法的选择</w:t>
      </w:r>
    </w:p>
    <w:p w14:paraId="035FD27D" w14:textId="77777777" w:rsidR="001A6EA8" w:rsidRDefault="00A5768A">
      <w:pPr>
        <w:ind w:firstLineChars="200" w:firstLine="480"/>
        <w:rPr>
          <w:rFonts w:ascii="宋体" w:hAnsi="宋体"/>
          <w:sz w:val="24"/>
        </w:rPr>
      </w:pPr>
      <w:r>
        <w:rPr>
          <w:rFonts w:ascii="宋体" w:hAnsi="宋体" w:hint="eastAsia"/>
          <w:sz w:val="24"/>
        </w:rPr>
        <w:t>(1)</w:t>
      </w:r>
      <w:r>
        <w:rPr>
          <w:rFonts w:ascii="宋体" w:hAnsi="宋体" w:hint="eastAsia"/>
          <w:sz w:val="24"/>
        </w:rPr>
        <w:t>考虑因素：达到测量可靠性目标的能力、可获得的数据来源和类型、可获得的数据量大小、系统开发与数据处理要求、技术人员能力水平、</w:t>
      </w:r>
      <w:bookmarkStart w:id="7" w:name="OLE_LINK11"/>
      <w:r>
        <w:rPr>
          <w:rFonts w:ascii="宋体" w:hAnsi="宋体" w:hint="eastAsia"/>
          <w:sz w:val="24"/>
        </w:rPr>
        <w:t>成本</w:t>
      </w:r>
      <w:bookmarkEnd w:id="7"/>
      <w:r>
        <w:rPr>
          <w:rFonts w:ascii="宋体" w:hAnsi="宋体" w:hint="eastAsia"/>
          <w:sz w:val="24"/>
        </w:rPr>
        <w:t>因素等。</w:t>
      </w:r>
    </w:p>
    <w:p w14:paraId="0E1AB631" w14:textId="77777777" w:rsidR="001A6EA8" w:rsidRDefault="00A5768A">
      <w:pPr>
        <w:ind w:firstLineChars="200" w:firstLine="480"/>
        <w:rPr>
          <w:rFonts w:ascii="宋体" w:hAnsi="宋体"/>
          <w:sz w:val="24"/>
        </w:rPr>
      </w:pPr>
      <w:r>
        <w:rPr>
          <w:rFonts w:ascii="宋体" w:hAnsi="宋体" w:hint="eastAsia"/>
          <w:sz w:val="24"/>
        </w:rPr>
        <w:lastRenderedPageBreak/>
        <w:t>(2)</w:t>
      </w:r>
      <w:r>
        <w:rPr>
          <w:rFonts w:ascii="宋体" w:hAnsi="宋体" w:hint="eastAsia"/>
          <w:sz w:val="24"/>
        </w:rPr>
        <w:t>方法选择</w:t>
      </w:r>
      <w:r>
        <w:rPr>
          <w:rFonts w:ascii="宋体" w:hAnsi="宋体" w:hint="eastAsia"/>
          <w:sz w:val="24"/>
        </w:rPr>
        <w:t>:</w:t>
      </w:r>
      <w:r>
        <w:rPr>
          <w:rFonts w:ascii="宋体" w:hAnsi="宋体"/>
          <w:sz w:val="24"/>
        </w:rPr>
        <w:t xml:space="preserve"> </w:t>
      </w:r>
      <w:r>
        <w:rPr>
          <w:rFonts w:ascii="宋体" w:hAnsi="宋体"/>
          <w:sz w:val="24"/>
        </w:rPr>
        <w:t>检定周期</w:t>
      </w:r>
      <w:r>
        <w:rPr>
          <w:rFonts w:ascii="宋体" w:hAnsi="宋体" w:hint="eastAsia"/>
          <w:sz w:val="24"/>
        </w:rPr>
        <w:t>的</w:t>
      </w:r>
      <w:r>
        <w:rPr>
          <w:rFonts w:ascii="宋体" w:hAnsi="宋体"/>
          <w:sz w:val="24"/>
        </w:rPr>
        <w:t>确定和</w:t>
      </w:r>
      <w:r>
        <w:rPr>
          <w:rFonts w:ascii="宋体" w:hAnsi="宋体"/>
          <w:sz w:val="24"/>
        </w:rPr>
        <w:t>调整</w:t>
      </w:r>
      <w:r>
        <w:rPr>
          <w:rFonts w:ascii="宋体" w:hAnsi="宋体" w:hint="eastAsia"/>
          <w:sz w:val="24"/>
        </w:rPr>
        <w:t>的</w:t>
      </w:r>
      <w:r>
        <w:rPr>
          <w:rFonts w:ascii="宋体" w:hAnsi="宋体"/>
          <w:sz w:val="24"/>
        </w:rPr>
        <w:t>方法的选择和决策见</w:t>
      </w:r>
      <w:r>
        <w:rPr>
          <w:rFonts w:ascii="宋体" w:hAnsi="宋体" w:hint="eastAsia"/>
          <w:sz w:val="24"/>
        </w:rPr>
        <w:t>方法选择</w:t>
      </w:r>
      <w:r>
        <w:rPr>
          <w:rFonts w:ascii="宋体" w:hAnsi="宋体"/>
          <w:sz w:val="24"/>
        </w:rPr>
        <w:t>表，实际过程中应综合考虑各方面情况，选择合适的方法进行。</w:t>
      </w:r>
    </w:p>
    <w:p w14:paraId="31CC32CB" w14:textId="77777777" w:rsidR="001A6EA8" w:rsidRDefault="00A5768A">
      <w:pPr>
        <w:numPr>
          <w:ilvl w:val="0"/>
          <w:numId w:val="3"/>
        </w:numPr>
        <w:ind w:left="0" w:firstLineChars="235" w:firstLine="564"/>
        <w:rPr>
          <w:sz w:val="24"/>
        </w:rPr>
      </w:pPr>
      <w:r>
        <w:rPr>
          <w:rFonts w:hint="eastAsia"/>
          <w:sz w:val="24"/>
        </w:rPr>
        <w:t>附录</w:t>
      </w:r>
    </w:p>
    <w:p w14:paraId="01C56A0B" w14:textId="77777777" w:rsidR="001A6EA8" w:rsidRDefault="00A5768A">
      <w:pPr>
        <w:ind w:firstLineChars="200" w:firstLine="480"/>
        <w:rPr>
          <w:sz w:val="24"/>
        </w:rPr>
      </w:pPr>
      <w:r>
        <w:rPr>
          <w:rFonts w:hint="eastAsia"/>
          <w:sz w:val="24"/>
        </w:rPr>
        <w:t>附录</w:t>
      </w:r>
      <w:r>
        <w:rPr>
          <w:rFonts w:hint="eastAsia"/>
          <w:sz w:val="24"/>
        </w:rPr>
        <w:t>A</w:t>
      </w:r>
      <w:r>
        <w:rPr>
          <w:rFonts w:hint="eastAsia"/>
          <w:sz w:val="24"/>
        </w:rPr>
        <w:t>至附录</w:t>
      </w:r>
      <w:r>
        <w:rPr>
          <w:rFonts w:hint="eastAsia"/>
          <w:sz w:val="24"/>
        </w:rPr>
        <w:t>E</w:t>
      </w:r>
      <w:r>
        <w:rPr>
          <w:rFonts w:hint="eastAsia"/>
          <w:sz w:val="24"/>
        </w:rPr>
        <w:t>分别详细介绍了反应法和最大似然估计法中每种方法的详细计算过程，以及确定检定周期时所需的数据类型和相关要求。</w:t>
      </w:r>
    </w:p>
    <w:p w14:paraId="0D81E8BD" w14:textId="77777777" w:rsidR="001A6EA8" w:rsidRDefault="00A5768A">
      <w:pPr>
        <w:numPr>
          <w:ilvl w:val="0"/>
          <w:numId w:val="1"/>
        </w:numPr>
        <w:ind w:left="0" w:firstLineChars="235" w:firstLine="566"/>
        <w:rPr>
          <w:b/>
          <w:sz w:val="24"/>
        </w:rPr>
      </w:pPr>
      <w:r>
        <w:rPr>
          <w:rFonts w:hint="eastAsia"/>
          <w:b/>
          <w:sz w:val="24"/>
        </w:rPr>
        <w:t>验证报告</w:t>
      </w:r>
    </w:p>
    <w:p w14:paraId="4BCA4BBD" w14:textId="77777777" w:rsidR="001A6EA8" w:rsidRDefault="00A5768A">
      <w:pPr>
        <w:ind w:firstLineChars="200" w:firstLine="480"/>
        <w:rPr>
          <w:rFonts w:ascii="宋体" w:hAnsi="宋体"/>
          <w:sz w:val="24"/>
        </w:rPr>
      </w:pPr>
      <w:r>
        <w:rPr>
          <w:rFonts w:ascii="宋体" w:hAnsi="宋体" w:hint="eastAsia"/>
          <w:sz w:val="24"/>
        </w:rPr>
        <w:t>起草小组对计量器具检定周期的确定方法进行了详细的验证，验证报告证明了本技术规范的科学性、可行性和可操作性。</w:t>
      </w:r>
    </w:p>
    <w:p w14:paraId="2AC88188" w14:textId="77777777" w:rsidR="001A6EA8" w:rsidRDefault="00A5768A">
      <w:pPr>
        <w:ind w:firstLineChars="200" w:firstLine="480"/>
        <w:rPr>
          <w:rFonts w:ascii="宋体" w:hAnsi="宋体"/>
          <w:sz w:val="24"/>
        </w:rPr>
      </w:pPr>
      <w:r>
        <w:rPr>
          <w:rFonts w:ascii="宋体" w:hAnsi="宋体" w:hint="eastAsia"/>
          <w:sz w:val="24"/>
        </w:rPr>
        <w:t>验证报告分别以不同计量专业的不同计量器具来进行验证：</w:t>
      </w:r>
    </w:p>
    <w:p w14:paraId="691DF926" w14:textId="77777777" w:rsidR="001A6EA8" w:rsidRDefault="00A5768A">
      <w:pPr>
        <w:pStyle w:val="ac"/>
        <w:numPr>
          <w:ilvl w:val="0"/>
          <w:numId w:val="5"/>
        </w:numPr>
        <w:ind w:firstLineChars="0"/>
        <w:rPr>
          <w:rFonts w:ascii="宋体" w:hAnsi="宋体"/>
          <w:sz w:val="24"/>
        </w:rPr>
      </w:pPr>
      <w:r>
        <w:rPr>
          <w:rFonts w:ascii="宋体" w:hAnsi="宋体" w:hint="eastAsia"/>
          <w:sz w:val="24"/>
        </w:rPr>
        <w:t>几何</w:t>
      </w:r>
      <w:proofErr w:type="gramStart"/>
      <w:r>
        <w:rPr>
          <w:rFonts w:ascii="宋体" w:hAnsi="宋体" w:hint="eastAsia"/>
          <w:sz w:val="24"/>
        </w:rPr>
        <w:t>量专业</w:t>
      </w:r>
      <w:proofErr w:type="gramEnd"/>
      <w:r>
        <w:rPr>
          <w:rFonts w:ascii="宋体" w:hAnsi="宋体" w:hint="eastAsia"/>
          <w:sz w:val="24"/>
        </w:rPr>
        <w:t>检定周期验证试验</w:t>
      </w:r>
    </w:p>
    <w:p w14:paraId="3DEC103B" w14:textId="77777777" w:rsidR="001A6EA8" w:rsidRDefault="00A5768A">
      <w:pPr>
        <w:pStyle w:val="ac"/>
        <w:numPr>
          <w:ilvl w:val="0"/>
          <w:numId w:val="5"/>
        </w:numPr>
        <w:ind w:firstLineChars="0"/>
        <w:rPr>
          <w:rFonts w:ascii="宋体" w:hAnsi="宋体"/>
          <w:sz w:val="24"/>
        </w:rPr>
      </w:pPr>
      <w:r>
        <w:rPr>
          <w:rFonts w:ascii="宋体" w:hAnsi="宋体" w:hint="eastAsia"/>
          <w:sz w:val="24"/>
        </w:rPr>
        <w:t>电磁学专业检定周期验证试验</w:t>
      </w:r>
    </w:p>
    <w:p w14:paraId="243770B7" w14:textId="77777777" w:rsidR="001A6EA8" w:rsidRDefault="00A5768A">
      <w:pPr>
        <w:pStyle w:val="ac"/>
        <w:numPr>
          <w:ilvl w:val="0"/>
          <w:numId w:val="5"/>
        </w:numPr>
        <w:ind w:firstLineChars="0"/>
        <w:rPr>
          <w:rFonts w:ascii="宋体" w:hAnsi="宋体"/>
          <w:sz w:val="24"/>
        </w:rPr>
      </w:pPr>
      <w:r>
        <w:rPr>
          <w:rFonts w:ascii="宋体" w:hAnsi="宋体" w:hint="eastAsia"/>
          <w:sz w:val="24"/>
        </w:rPr>
        <w:t>热学专业检定周期验证试验</w:t>
      </w:r>
    </w:p>
    <w:p w14:paraId="7DEBE8AE" w14:textId="77777777" w:rsidR="001A6EA8" w:rsidRDefault="00A5768A">
      <w:pPr>
        <w:pStyle w:val="ac"/>
        <w:numPr>
          <w:ilvl w:val="0"/>
          <w:numId w:val="5"/>
        </w:numPr>
        <w:ind w:firstLineChars="0"/>
        <w:rPr>
          <w:rFonts w:ascii="宋体" w:hAnsi="宋体"/>
          <w:sz w:val="24"/>
        </w:rPr>
      </w:pPr>
      <w:r>
        <w:rPr>
          <w:rFonts w:ascii="宋体" w:hAnsi="宋体" w:hint="eastAsia"/>
          <w:sz w:val="24"/>
        </w:rPr>
        <w:t>力学专业检定周期验证试验</w:t>
      </w:r>
    </w:p>
    <w:p w14:paraId="5E4A50FF" w14:textId="77777777" w:rsidR="001A6EA8" w:rsidRDefault="00A5768A">
      <w:pPr>
        <w:pStyle w:val="ac"/>
        <w:numPr>
          <w:ilvl w:val="0"/>
          <w:numId w:val="5"/>
        </w:numPr>
        <w:ind w:firstLineChars="0"/>
        <w:rPr>
          <w:rFonts w:ascii="宋体" w:hAnsi="宋体"/>
          <w:sz w:val="24"/>
        </w:rPr>
      </w:pPr>
      <w:r>
        <w:rPr>
          <w:rFonts w:ascii="宋体" w:hAnsi="宋体" w:hint="eastAsia"/>
          <w:sz w:val="24"/>
        </w:rPr>
        <w:t>热工专业检定周期验证试验</w:t>
      </w:r>
    </w:p>
    <w:p w14:paraId="64123527" w14:textId="77777777" w:rsidR="001A6EA8" w:rsidRDefault="00A5768A">
      <w:pPr>
        <w:numPr>
          <w:ilvl w:val="0"/>
          <w:numId w:val="1"/>
        </w:numPr>
        <w:rPr>
          <w:b/>
          <w:sz w:val="24"/>
        </w:rPr>
      </w:pPr>
      <w:r>
        <w:rPr>
          <w:rFonts w:hint="eastAsia"/>
          <w:b/>
          <w:sz w:val="24"/>
        </w:rPr>
        <w:t>知识产权说明（涉及专利的情况声明）</w:t>
      </w:r>
    </w:p>
    <w:p w14:paraId="298E164D" w14:textId="77777777" w:rsidR="001A6EA8" w:rsidRDefault="00A5768A">
      <w:pPr>
        <w:ind w:firstLineChars="235" w:firstLine="564"/>
        <w:rPr>
          <w:rFonts w:ascii="宋体" w:hAnsi="宋体"/>
          <w:sz w:val="24"/>
        </w:rPr>
      </w:pPr>
      <w:r>
        <w:rPr>
          <w:rFonts w:ascii="宋体" w:hAnsi="宋体" w:hint="eastAsia"/>
          <w:sz w:val="24"/>
        </w:rPr>
        <w:t>本文件不涉及专利问题。</w:t>
      </w:r>
    </w:p>
    <w:p w14:paraId="4AFA487C" w14:textId="77777777" w:rsidR="001A6EA8" w:rsidRDefault="00A5768A">
      <w:pPr>
        <w:numPr>
          <w:ilvl w:val="0"/>
          <w:numId w:val="1"/>
        </w:numPr>
        <w:rPr>
          <w:b/>
          <w:sz w:val="24"/>
        </w:rPr>
      </w:pPr>
      <w:r>
        <w:rPr>
          <w:rFonts w:hint="eastAsia"/>
          <w:b/>
          <w:sz w:val="24"/>
        </w:rPr>
        <w:t>重大分歧意见的处理经过和依据</w:t>
      </w:r>
    </w:p>
    <w:p w14:paraId="7EBBA5F1" w14:textId="77777777" w:rsidR="001A6EA8" w:rsidRDefault="00A5768A">
      <w:pPr>
        <w:ind w:firstLineChars="235" w:firstLine="564"/>
        <w:rPr>
          <w:rFonts w:ascii="宋体" w:hAnsi="宋体"/>
          <w:sz w:val="24"/>
        </w:rPr>
      </w:pPr>
      <w:r>
        <w:rPr>
          <w:rFonts w:ascii="宋体" w:hAnsi="宋体" w:hint="eastAsia"/>
          <w:sz w:val="24"/>
        </w:rPr>
        <w:t>无。除了个别名词、专业术语名称上有过争论</w:t>
      </w:r>
      <w:r>
        <w:rPr>
          <w:rFonts w:ascii="宋体" w:hAnsi="宋体" w:hint="eastAsia"/>
          <w:sz w:val="24"/>
        </w:rPr>
        <w:t>,</w:t>
      </w:r>
      <w:r>
        <w:rPr>
          <w:rFonts w:ascii="宋体" w:hAnsi="宋体" w:hint="eastAsia"/>
          <w:sz w:val="24"/>
        </w:rPr>
        <w:t>内容的增加有争论，最后大家基本能够统一认识，起草过程中无重大分歧意见。</w:t>
      </w:r>
    </w:p>
    <w:p w14:paraId="7FDA1A23" w14:textId="77777777" w:rsidR="001A6EA8" w:rsidRDefault="00A5768A">
      <w:pPr>
        <w:pStyle w:val="ac"/>
        <w:numPr>
          <w:ilvl w:val="0"/>
          <w:numId w:val="1"/>
        </w:numPr>
        <w:ind w:firstLineChars="0"/>
        <w:rPr>
          <w:b/>
          <w:sz w:val="24"/>
        </w:rPr>
      </w:pPr>
      <w:r>
        <w:rPr>
          <w:rFonts w:hint="eastAsia"/>
          <w:b/>
          <w:sz w:val="24"/>
        </w:rPr>
        <w:t>宣贯的要求和措施建议（包括组织措施、技术措施、过渡办法、实施日期）</w:t>
      </w:r>
    </w:p>
    <w:p w14:paraId="6D29C033" w14:textId="77777777" w:rsidR="001A6EA8" w:rsidRDefault="00A5768A">
      <w:pPr>
        <w:ind w:rightChars="-10" w:right="-21" w:firstLineChars="200" w:firstLine="480"/>
        <w:rPr>
          <w:rFonts w:ascii="宋体" w:hAnsi="宋体"/>
          <w:sz w:val="24"/>
        </w:rPr>
      </w:pPr>
      <w:r>
        <w:rPr>
          <w:rFonts w:ascii="宋体" w:hAnsi="宋体" w:hint="eastAsia"/>
          <w:sz w:val="24"/>
        </w:rPr>
        <w:t>本技术规范的修订参考了最新版本的国际文件；在起草中注意条文符合国家有关法规和政策，坚持积极采用、注重实效的方针。</w:t>
      </w:r>
      <w:r>
        <w:rPr>
          <w:rFonts w:ascii="宋体" w:hAnsi="宋体" w:hint="eastAsia"/>
          <w:sz w:val="24"/>
        </w:rPr>
        <w:t xml:space="preserve"> </w:t>
      </w:r>
    </w:p>
    <w:p w14:paraId="75BF5EBC" w14:textId="77777777" w:rsidR="001A6EA8" w:rsidRDefault="00A5768A">
      <w:pPr>
        <w:ind w:rightChars="-10" w:right="-21" w:firstLineChars="200" w:firstLine="480"/>
        <w:rPr>
          <w:rFonts w:ascii="宋体" w:hAnsi="宋体"/>
          <w:sz w:val="24"/>
        </w:rPr>
      </w:pPr>
      <w:r>
        <w:rPr>
          <w:rFonts w:ascii="宋体" w:hAnsi="宋体"/>
          <w:sz w:val="24"/>
        </w:rPr>
        <w:t>技术规范修</w:t>
      </w:r>
      <w:r>
        <w:rPr>
          <w:rFonts w:ascii="宋体" w:hAnsi="宋体" w:hint="eastAsia"/>
          <w:sz w:val="24"/>
        </w:rPr>
        <w:t>订</w:t>
      </w:r>
      <w:r>
        <w:rPr>
          <w:rFonts w:ascii="宋体" w:hAnsi="宋体"/>
          <w:sz w:val="24"/>
        </w:rPr>
        <w:t>后，需要进行全国的培训宣</w:t>
      </w:r>
      <w:proofErr w:type="gramStart"/>
      <w:r>
        <w:rPr>
          <w:rFonts w:ascii="宋体" w:hAnsi="宋体"/>
          <w:sz w:val="24"/>
        </w:rPr>
        <w:t>贯</w:t>
      </w:r>
      <w:proofErr w:type="gramEnd"/>
      <w:r>
        <w:rPr>
          <w:rFonts w:ascii="宋体" w:hAnsi="宋体"/>
          <w:sz w:val="24"/>
        </w:rPr>
        <w:t>。</w:t>
      </w:r>
    </w:p>
    <w:p w14:paraId="49A23607" w14:textId="77777777" w:rsidR="001A6EA8" w:rsidRDefault="001A6EA8">
      <w:pPr>
        <w:spacing w:line="276" w:lineRule="auto"/>
        <w:rPr>
          <w:rFonts w:ascii="宋体" w:hAnsi="宋体"/>
          <w:sz w:val="24"/>
        </w:rPr>
      </w:pPr>
    </w:p>
    <w:sectPr w:rsidR="001A6EA8">
      <w:pgSz w:w="11906" w:h="16838"/>
      <w:pgMar w:top="1418" w:right="1418" w:bottom="1361" w:left="1440" w:header="851" w:footer="992" w:gutter="0"/>
      <w:pgNumType w:start="1"/>
      <w:cols w:space="425"/>
      <w:docGrid w:type="lines" w:linePitch="4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0D0572" w14:textId="77777777" w:rsidR="00A5768A" w:rsidRDefault="00A5768A">
      <w:r>
        <w:separator/>
      </w:r>
    </w:p>
  </w:endnote>
  <w:endnote w:type="continuationSeparator" w:id="0">
    <w:p w14:paraId="4E0BD94D" w14:textId="77777777" w:rsidR="00A5768A" w:rsidRDefault="00A57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2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76EFE" w14:textId="77777777" w:rsidR="001A6EA8" w:rsidRDefault="00A5768A">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5</w:t>
    </w:r>
    <w:r>
      <w:rPr>
        <w:rStyle w:val="a9"/>
      </w:rPr>
      <w:fldChar w:fldCharType="end"/>
    </w:r>
  </w:p>
  <w:p w14:paraId="7489D8FE" w14:textId="77777777" w:rsidR="001A6EA8" w:rsidRDefault="001A6EA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0CA11A" w14:textId="77777777" w:rsidR="001A6EA8" w:rsidRDefault="001A6EA8">
    <w:pPr>
      <w:pStyle w:val="a7"/>
      <w:jc w:val="center"/>
    </w:pPr>
  </w:p>
  <w:p w14:paraId="2E8D60C7" w14:textId="77777777" w:rsidR="001A6EA8" w:rsidRDefault="00A5768A">
    <w:pPr>
      <w:pStyle w:val="a7"/>
      <w:jc w:val="right"/>
    </w:pPr>
    <w:r>
      <w:fldChar w:fldCharType="begin"/>
    </w:r>
    <w:r>
      <w:instrText xml:space="preserve"> PAGE   \* MERGEFORMAT </w:instrText>
    </w:r>
    <w:r>
      <w:fldChar w:fldCharType="separate"/>
    </w:r>
    <w:r w:rsidR="00DE2E7B" w:rsidRPr="00DE2E7B">
      <w:rPr>
        <w:noProof/>
        <w:lang w:val="zh-CN"/>
      </w:rPr>
      <w:t>1</w:t>
    </w:r>
    <w:r>
      <w:fldChar w:fldCharType="end"/>
    </w:r>
  </w:p>
  <w:p w14:paraId="00C66F5D" w14:textId="77777777" w:rsidR="001A6EA8" w:rsidRDefault="001A6EA8">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ECD78E" w14:textId="77777777" w:rsidR="001A6EA8" w:rsidRDefault="001A6EA8">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1BD1AE" w14:textId="77777777" w:rsidR="00A5768A" w:rsidRDefault="00A5768A">
      <w:r>
        <w:separator/>
      </w:r>
    </w:p>
  </w:footnote>
  <w:footnote w:type="continuationSeparator" w:id="0">
    <w:p w14:paraId="087F36A8" w14:textId="77777777" w:rsidR="00A5768A" w:rsidRDefault="00A576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F7EA0" w14:textId="77777777" w:rsidR="001A6EA8" w:rsidRDefault="001A6EA8">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F1AFE3" w14:textId="77777777" w:rsidR="001A6EA8" w:rsidRDefault="001A6EA8">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4A0E31"/>
    <w:multiLevelType w:val="multilevel"/>
    <w:tmpl w:val="1F4A0E31"/>
    <w:lvl w:ilvl="0">
      <w:start w:val="1"/>
      <w:numFmt w:val="decimal"/>
      <w:lvlText w:val="%1."/>
      <w:lvlJc w:val="left"/>
      <w:pPr>
        <w:tabs>
          <w:tab w:val="left" w:pos="720"/>
        </w:tabs>
        <w:ind w:left="720" w:hanging="360"/>
      </w:pPr>
      <w:rPr>
        <w:rFonts w:hint="default"/>
      </w:rPr>
    </w:lvl>
    <w:lvl w:ilvl="1">
      <w:start w:val="1"/>
      <w:numFmt w:val="decimal"/>
      <w:lvlText w:val="%2."/>
      <w:lvlJc w:val="left"/>
      <w:pPr>
        <w:ind w:left="1140" w:hanging="360"/>
      </w:pPr>
      <w:rPr>
        <w:rFonts w:hint="default"/>
      </w:rPr>
    </w:lvl>
    <w:lvl w:ilvl="2">
      <w:start w:val="1"/>
      <w:numFmt w:val="lowerRoman"/>
      <w:lvlText w:val="%3."/>
      <w:lvlJc w:val="right"/>
      <w:pPr>
        <w:tabs>
          <w:tab w:val="left" w:pos="1620"/>
        </w:tabs>
        <w:ind w:left="1620" w:hanging="420"/>
      </w:pPr>
    </w:lvl>
    <w:lvl w:ilvl="3">
      <w:start w:val="1"/>
      <w:numFmt w:val="decimal"/>
      <w:lvlText w:val="%4."/>
      <w:lvlJc w:val="left"/>
      <w:pPr>
        <w:tabs>
          <w:tab w:val="left" w:pos="2040"/>
        </w:tabs>
        <w:ind w:left="2040" w:hanging="420"/>
      </w:pPr>
    </w:lvl>
    <w:lvl w:ilvl="4">
      <w:start w:val="1"/>
      <w:numFmt w:val="lowerLetter"/>
      <w:lvlText w:val="%5)"/>
      <w:lvlJc w:val="left"/>
      <w:pPr>
        <w:tabs>
          <w:tab w:val="left" w:pos="2460"/>
        </w:tabs>
        <w:ind w:left="2460" w:hanging="420"/>
      </w:pPr>
    </w:lvl>
    <w:lvl w:ilvl="5">
      <w:start w:val="1"/>
      <w:numFmt w:val="lowerRoman"/>
      <w:lvlText w:val="%6."/>
      <w:lvlJc w:val="right"/>
      <w:pPr>
        <w:tabs>
          <w:tab w:val="left" w:pos="2880"/>
        </w:tabs>
        <w:ind w:left="2880" w:hanging="420"/>
      </w:pPr>
    </w:lvl>
    <w:lvl w:ilvl="6">
      <w:start w:val="1"/>
      <w:numFmt w:val="decimal"/>
      <w:lvlText w:val="%7."/>
      <w:lvlJc w:val="left"/>
      <w:pPr>
        <w:tabs>
          <w:tab w:val="left" w:pos="3300"/>
        </w:tabs>
        <w:ind w:left="3300" w:hanging="420"/>
      </w:pPr>
    </w:lvl>
    <w:lvl w:ilvl="7">
      <w:start w:val="1"/>
      <w:numFmt w:val="lowerLetter"/>
      <w:lvlText w:val="%8)"/>
      <w:lvlJc w:val="left"/>
      <w:pPr>
        <w:tabs>
          <w:tab w:val="left" w:pos="3720"/>
        </w:tabs>
        <w:ind w:left="3720" w:hanging="420"/>
      </w:pPr>
    </w:lvl>
    <w:lvl w:ilvl="8">
      <w:start w:val="1"/>
      <w:numFmt w:val="lowerRoman"/>
      <w:lvlText w:val="%9."/>
      <w:lvlJc w:val="right"/>
      <w:pPr>
        <w:tabs>
          <w:tab w:val="left" w:pos="4140"/>
        </w:tabs>
        <w:ind w:left="4140" w:hanging="420"/>
      </w:pPr>
    </w:lvl>
  </w:abstractNum>
  <w:abstractNum w:abstractNumId="1">
    <w:nsid w:val="48CF680B"/>
    <w:multiLevelType w:val="multilevel"/>
    <w:tmpl w:val="48CF680B"/>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200"/>
        </w:tabs>
        <w:ind w:left="1200" w:hanging="420"/>
      </w:pPr>
    </w:lvl>
    <w:lvl w:ilvl="2">
      <w:start w:val="1"/>
      <w:numFmt w:val="lowerRoman"/>
      <w:lvlText w:val="%3."/>
      <w:lvlJc w:val="right"/>
      <w:pPr>
        <w:tabs>
          <w:tab w:val="left" w:pos="1620"/>
        </w:tabs>
        <w:ind w:left="1620" w:hanging="420"/>
      </w:pPr>
    </w:lvl>
    <w:lvl w:ilvl="3">
      <w:start w:val="1"/>
      <w:numFmt w:val="decimal"/>
      <w:lvlText w:val="%4."/>
      <w:lvlJc w:val="left"/>
      <w:pPr>
        <w:tabs>
          <w:tab w:val="left" w:pos="2040"/>
        </w:tabs>
        <w:ind w:left="2040" w:hanging="420"/>
      </w:pPr>
    </w:lvl>
    <w:lvl w:ilvl="4">
      <w:start w:val="1"/>
      <w:numFmt w:val="lowerLetter"/>
      <w:lvlText w:val="%5)"/>
      <w:lvlJc w:val="left"/>
      <w:pPr>
        <w:tabs>
          <w:tab w:val="left" w:pos="2460"/>
        </w:tabs>
        <w:ind w:left="2460" w:hanging="420"/>
      </w:pPr>
    </w:lvl>
    <w:lvl w:ilvl="5">
      <w:start w:val="1"/>
      <w:numFmt w:val="lowerRoman"/>
      <w:lvlText w:val="%6."/>
      <w:lvlJc w:val="right"/>
      <w:pPr>
        <w:tabs>
          <w:tab w:val="left" w:pos="2880"/>
        </w:tabs>
        <w:ind w:left="2880" w:hanging="420"/>
      </w:pPr>
    </w:lvl>
    <w:lvl w:ilvl="6">
      <w:start w:val="1"/>
      <w:numFmt w:val="decimal"/>
      <w:lvlText w:val="%7."/>
      <w:lvlJc w:val="left"/>
      <w:pPr>
        <w:tabs>
          <w:tab w:val="left" w:pos="3300"/>
        </w:tabs>
        <w:ind w:left="3300" w:hanging="420"/>
      </w:pPr>
    </w:lvl>
    <w:lvl w:ilvl="7">
      <w:start w:val="1"/>
      <w:numFmt w:val="lowerLetter"/>
      <w:lvlText w:val="%8)"/>
      <w:lvlJc w:val="left"/>
      <w:pPr>
        <w:tabs>
          <w:tab w:val="left" w:pos="3720"/>
        </w:tabs>
        <w:ind w:left="3720" w:hanging="420"/>
      </w:pPr>
    </w:lvl>
    <w:lvl w:ilvl="8">
      <w:start w:val="1"/>
      <w:numFmt w:val="lowerRoman"/>
      <w:lvlText w:val="%9."/>
      <w:lvlJc w:val="right"/>
      <w:pPr>
        <w:tabs>
          <w:tab w:val="left" w:pos="4140"/>
        </w:tabs>
        <w:ind w:left="4140" w:hanging="420"/>
      </w:pPr>
    </w:lvl>
  </w:abstractNum>
  <w:abstractNum w:abstractNumId="2">
    <w:nsid w:val="58405E48"/>
    <w:multiLevelType w:val="multilevel"/>
    <w:tmpl w:val="58405E48"/>
    <w:lvl w:ilvl="0">
      <w:start w:val="1"/>
      <w:numFmt w:val="japaneseCounting"/>
      <w:lvlText w:val="%1、"/>
      <w:lvlJc w:val="left"/>
      <w:pPr>
        <w:tabs>
          <w:tab w:val="left" w:pos="480"/>
        </w:tabs>
        <w:ind w:left="480" w:hanging="48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5B5D3D84"/>
    <w:multiLevelType w:val="multilevel"/>
    <w:tmpl w:val="5B5D3D84"/>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78FC3442"/>
    <w:multiLevelType w:val="multilevel"/>
    <w:tmpl w:val="78FC3442"/>
    <w:lvl w:ilvl="0">
      <w:start w:val="1"/>
      <w:numFmt w:val="decimal"/>
      <w:lvlText w:val="%1)"/>
      <w:lvlJc w:val="left"/>
      <w:pPr>
        <w:ind w:left="984" w:hanging="420"/>
      </w:pPr>
    </w:lvl>
    <w:lvl w:ilvl="1">
      <w:start w:val="1"/>
      <w:numFmt w:val="lowerLetter"/>
      <w:lvlText w:val="%2)"/>
      <w:lvlJc w:val="left"/>
      <w:pPr>
        <w:ind w:left="1404" w:hanging="420"/>
      </w:pPr>
    </w:lvl>
    <w:lvl w:ilvl="2">
      <w:start w:val="1"/>
      <w:numFmt w:val="lowerRoman"/>
      <w:lvlText w:val="%3."/>
      <w:lvlJc w:val="right"/>
      <w:pPr>
        <w:ind w:left="1824" w:hanging="420"/>
      </w:pPr>
    </w:lvl>
    <w:lvl w:ilvl="3">
      <w:start w:val="1"/>
      <w:numFmt w:val="decimal"/>
      <w:lvlText w:val="%4."/>
      <w:lvlJc w:val="left"/>
      <w:pPr>
        <w:ind w:left="2244" w:hanging="420"/>
      </w:pPr>
    </w:lvl>
    <w:lvl w:ilvl="4">
      <w:start w:val="1"/>
      <w:numFmt w:val="lowerLetter"/>
      <w:lvlText w:val="%5)"/>
      <w:lvlJc w:val="left"/>
      <w:pPr>
        <w:ind w:left="2664" w:hanging="420"/>
      </w:pPr>
    </w:lvl>
    <w:lvl w:ilvl="5">
      <w:start w:val="1"/>
      <w:numFmt w:val="lowerRoman"/>
      <w:lvlText w:val="%6."/>
      <w:lvlJc w:val="right"/>
      <w:pPr>
        <w:ind w:left="3084" w:hanging="420"/>
      </w:pPr>
    </w:lvl>
    <w:lvl w:ilvl="6">
      <w:start w:val="1"/>
      <w:numFmt w:val="decimal"/>
      <w:lvlText w:val="%7."/>
      <w:lvlJc w:val="left"/>
      <w:pPr>
        <w:ind w:left="3504" w:hanging="420"/>
      </w:pPr>
    </w:lvl>
    <w:lvl w:ilvl="7">
      <w:start w:val="1"/>
      <w:numFmt w:val="lowerLetter"/>
      <w:lvlText w:val="%8)"/>
      <w:lvlJc w:val="left"/>
      <w:pPr>
        <w:ind w:left="3924" w:hanging="420"/>
      </w:pPr>
    </w:lvl>
    <w:lvl w:ilvl="8">
      <w:start w:val="1"/>
      <w:numFmt w:val="lowerRoman"/>
      <w:lvlText w:val="%9."/>
      <w:lvlJc w:val="right"/>
      <w:pPr>
        <w:ind w:left="4344" w:hanging="42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234"/>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iMTY5YzdjNWYxMGE2MTUxMmU2YjQwZmQyNTlkMzYifQ=="/>
  </w:docVars>
  <w:rsids>
    <w:rsidRoot w:val="003E7D71"/>
    <w:rsid w:val="000162CE"/>
    <w:rsid w:val="00021B5D"/>
    <w:rsid w:val="00022D10"/>
    <w:rsid w:val="000331F5"/>
    <w:rsid w:val="000333B2"/>
    <w:rsid w:val="00043068"/>
    <w:rsid w:val="00046CAC"/>
    <w:rsid w:val="0005676B"/>
    <w:rsid w:val="00064875"/>
    <w:rsid w:val="0007465B"/>
    <w:rsid w:val="00074801"/>
    <w:rsid w:val="00074B0E"/>
    <w:rsid w:val="00077967"/>
    <w:rsid w:val="000842EB"/>
    <w:rsid w:val="00093FD1"/>
    <w:rsid w:val="00094F6C"/>
    <w:rsid w:val="000B7586"/>
    <w:rsid w:val="000C07E1"/>
    <w:rsid w:val="000E1EEE"/>
    <w:rsid w:val="000E3BD3"/>
    <w:rsid w:val="000E5A0A"/>
    <w:rsid w:val="000E668D"/>
    <w:rsid w:val="000F0900"/>
    <w:rsid w:val="000F31C7"/>
    <w:rsid w:val="00103C85"/>
    <w:rsid w:val="001059FB"/>
    <w:rsid w:val="00114926"/>
    <w:rsid w:val="00116548"/>
    <w:rsid w:val="00127671"/>
    <w:rsid w:val="001333D1"/>
    <w:rsid w:val="00141C4A"/>
    <w:rsid w:val="001430C5"/>
    <w:rsid w:val="0015403D"/>
    <w:rsid w:val="001549D4"/>
    <w:rsid w:val="00161983"/>
    <w:rsid w:val="00161DD9"/>
    <w:rsid w:val="001661E9"/>
    <w:rsid w:val="001803CA"/>
    <w:rsid w:val="00181E5C"/>
    <w:rsid w:val="00187CE7"/>
    <w:rsid w:val="001A6EA8"/>
    <w:rsid w:val="001B0B8A"/>
    <w:rsid w:val="001B71E8"/>
    <w:rsid w:val="001B7CD4"/>
    <w:rsid w:val="001C1147"/>
    <w:rsid w:val="001C7718"/>
    <w:rsid w:val="001D6386"/>
    <w:rsid w:val="001D66B5"/>
    <w:rsid w:val="001E30EC"/>
    <w:rsid w:val="001E57B6"/>
    <w:rsid w:val="001F74F3"/>
    <w:rsid w:val="002016B8"/>
    <w:rsid w:val="002102E4"/>
    <w:rsid w:val="00214EFC"/>
    <w:rsid w:val="00216CA5"/>
    <w:rsid w:val="002208E8"/>
    <w:rsid w:val="00222129"/>
    <w:rsid w:val="002249BF"/>
    <w:rsid w:val="00227890"/>
    <w:rsid w:val="00245359"/>
    <w:rsid w:val="00247DB3"/>
    <w:rsid w:val="00256704"/>
    <w:rsid w:val="002618F8"/>
    <w:rsid w:val="002642BC"/>
    <w:rsid w:val="00264428"/>
    <w:rsid w:val="00265311"/>
    <w:rsid w:val="00266D24"/>
    <w:rsid w:val="002702D6"/>
    <w:rsid w:val="00270572"/>
    <w:rsid w:val="00274DB5"/>
    <w:rsid w:val="00277962"/>
    <w:rsid w:val="00290D67"/>
    <w:rsid w:val="002B23BF"/>
    <w:rsid w:val="002B2EEC"/>
    <w:rsid w:val="002B335C"/>
    <w:rsid w:val="002B62A5"/>
    <w:rsid w:val="002C0594"/>
    <w:rsid w:val="002D6B27"/>
    <w:rsid w:val="002D6E6B"/>
    <w:rsid w:val="002E3B90"/>
    <w:rsid w:val="002E4098"/>
    <w:rsid w:val="002E4B9D"/>
    <w:rsid w:val="002F4312"/>
    <w:rsid w:val="002F5294"/>
    <w:rsid w:val="002F7613"/>
    <w:rsid w:val="00302243"/>
    <w:rsid w:val="00302D14"/>
    <w:rsid w:val="003047F0"/>
    <w:rsid w:val="003050A0"/>
    <w:rsid w:val="0030567A"/>
    <w:rsid w:val="00311438"/>
    <w:rsid w:val="0031145A"/>
    <w:rsid w:val="00311F23"/>
    <w:rsid w:val="00327D4E"/>
    <w:rsid w:val="00340ED3"/>
    <w:rsid w:val="00341F80"/>
    <w:rsid w:val="00346FAA"/>
    <w:rsid w:val="00362E62"/>
    <w:rsid w:val="00367C88"/>
    <w:rsid w:val="0037089D"/>
    <w:rsid w:val="0037439D"/>
    <w:rsid w:val="00374404"/>
    <w:rsid w:val="00376760"/>
    <w:rsid w:val="0038642D"/>
    <w:rsid w:val="00392F06"/>
    <w:rsid w:val="003951DD"/>
    <w:rsid w:val="00396A5C"/>
    <w:rsid w:val="003A087D"/>
    <w:rsid w:val="003A163B"/>
    <w:rsid w:val="003A2C63"/>
    <w:rsid w:val="003A2D94"/>
    <w:rsid w:val="003A39EE"/>
    <w:rsid w:val="003A5C27"/>
    <w:rsid w:val="003B0BA5"/>
    <w:rsid w:val="003B2147"/>
    <w:rsid w:val="003B2859"/>
    <w:rsid w:val="003C22DE"/>
    <w:rsid w:val="003C43C3"/>
    <w:rsid w:val="003C53C5"/>
    <w:rsid w:val="003C66E8"/>
    <w:rsid w:val="003D7730"/>
    <w:rsid w:val="003E7D71"/>
    <w:rsid w:val="003F0931"/>
    <w:rsid w:val="003F0A4D"/>
    <w:rsid w:val="003F0BC9"/>
    <w:rsid w:val="003F128B"/>
    <w:rsid w:val="003F1584"/>
    <w:rsid w:val="003F2860"/>
    <w:rsid w:val="004052E4"/>
    <w:rsid w:val="00406862"/>
    <w:rsid w:val="00406BE2"/>
    <w:rsid w:val="004328C5"/>
    <w:rsid w:val="0043335E"/>
    <w:rsid w:val="00446346"/>
    <w:rsid w:val="004509B7"/>
    <w:rsid w:val="00450F88"/>
    <w:rsid w:val="004668D6"/>
    <w:rsid w:val="00473DF2"/>
    <w:rsid w:val="004822DC"/>
    <w:rsid w:val="004845C4"/>
    <w:rsid w:val="0049302E"/>
    <w:rsid w:val="00494476"/>
    <w:rsid w:val="004A3326"/>
    <w:rsid w:val="004A39DB"/>
    <w:rsid w:val="004A7902"/>
    <w:rsid w:val="004B3996"/>
    <w:rsid w:val="004D57F5"/>
    <w:rsid w:val="004F46FC"/>
    <w:rsid w:val="0050524F"/>
    <w:rsid w:val="005059EF"/>
    <w:rsid w:val="005212AD"/>
    <w:rsid w:val="00525568"/>
    <w:rsid w:val="0053700C"/>
    <w:rsid w:val="00540F4D"/>
    <w:rsid w:val="0054529A"/>
    <w:rsid w:val="00552180"/>
    <w:rsid w:val="00563EE0"/>
    <w:rsid w:val="0056457D"/>
    <w:rsid w:val="00577756"/>
    <w:rsid w:val="005955C8"/>
    <w:rsid w:val="005B013A"/>
    <w:rsid w:val="005B7257"/>
    <w:rsid w:val="005C6AA1"/>
    <w:rsid w:val="005D12C2"/>
    <w:rsid w:val="005D409F"/>
    <w:rsid w:val="005D6354"/>
    <w:rsid w:val="005D79D5"/>
    <w:rsid w:val="005E0A3E"/>
    <w:rsid w:val="005E234D"/>
    <w:rsid w:val="005E3DF2"/>
    <w:rsid w:val="005E6AE8"/>
    <w:rsid w:val="005E79D3"/>
    <w:rsid w:val="005F223D"/>
    <w:rsid w:val="005F2762"/>
    <w:rsid w:val="005F60E1"/>
    <w:rsid w:val="006044DF"/>
    <w:rsid w:val="00607333"/>
    <w:rsid w:val="006143D7"/>
    <w:rsid w:val="00634A63"/>
    <w:rsid w:val="006379AB"/>
    <w:rsid w:val="00641619"/>
    <w:rsid w:val="00642DD6"/>
    <w:rsid w:val="00643953"/>
    <w:rsid w:val="00645CD2"/>
    <w:rsid w:val="00646ED9"/>
    <w:rsid w:val="00650C14"/>
    <w:rsid w:val="00657834"/>
    <w:rsid w:val="0066425C"/>
    <w:rsid w:val="006819F8"/>
    <w:rsid w:val="00684D26"/>
    <w:rsid w:val="00697A4D"/>
    <w:rsid w:val="006A3F39"/>
    <w:rsid w:val="006A6AB2"/>
    <w:rsid w:val="006B1F9C"/>
    <w:rsid w:val="006B50C8"/>
    <w:rsid w:val="006B6A2B"/>
    <w:rsid w:val="006B7685"/>
    <w:rsid w:val="006C325D"/>
    <w:rsid w:val="006C49D6"/>
    <w:rsid w:val="006C57C9"/>
    <w:rsid w:val="006D0AF2"/>
    <w:rsid w:val="006D55DC"/>
    <w:rsid w:val="006E03E6"/>
    <w:rsid w:val="006E2EB8"/>
    <w:rsid w:val="006E5186"/>
    <w:rsid w:val="006F00FC"/>
    <w:rsid w:val="006F10C6"/>
    <w:rsid w:val="006F2C8E"/>
    <w:rsid w:val="006F37C8"/>
    <w:rsid w:val="006F6620"/>
    <w:rsid w:val="00700EE9"/>
    <w:rsid w:val="00705446"/>
    <w:rsid w:val="0071221E"/>
    <w:rsid w:val="00716000"/>
    <w:rsid w:val="00726A23"/>
    <w:rsid w:val="0073221D"/>
    <w:rsid w:val="0073567D"/>
    <w:rsid w:val="00743A85"/>
    <w:rsid w:val="00756682"/>
    <w:rsid w:val="0077447A"/>
    <w:rsid w:val="007772F2"/>
    <w:rsid w:val="00777315"/>
    <w:rsid w:val="0078189E"/>
    <w:rsid w:val="00781D19"/>
    <w:rsid w:val="007B1B54"/>
    <w:rsid w:val="007C007D"/>
    <w:rsid w:val="007D6779"/>
    <w:rsid w:val="007E59C1"/>
    <w:rsid w:val="00805A78"/>
    <w:rsid w:val="00806125"/>
    <w:rsid w:val="00820F24"/>
    <w:rsid w:val="00822C59"/>
    <w:rsid w:val="00830D12"/>
    <w:rsid w:val="00831D85"/>
    <w:rsid w:val="008320BA"/>
    <w:rsid w:val="0083378E"/>
    <w:rsid w:val="00835903"/>
    <w:rsid w:val="00835ED9"/>
    <w:rsid w:val="008410CD"/>
    <w:rsid w:val="00842661"/>
    <w:rsid w:val="00843CE1"/>
    <w:rsid w:val="008466E1"/>
    <w:rsid w:val="008530B8"/>
    <w:rsid w:val="00866B09"/>
    <w:rsid w:val="0087177E"/>
    <w:rsid w:val="00873F5E"/>
    <w:rsid w:val="00880798"/>
    <w:rsid w:val="008857CD"/>
    <w:rsid w:val="008868AB"/>
    <w:rsid w:val="00886D2A"/>
    <w:rsid w:val="008A1EA9"/>
    <w:rsid w:val="008A2202"/>
    <w:rsid w:val="008A30C8"/>
    <w:rsid w:val="008A4E3A"/>
    <w:rsid w:val="008B292E"/>
    <w:rsid w:val="008B6BFB"/>
    <w:rsid w:val="008B6ECA"/>
    <w:rsid w:val="008C5BC9"/>
    <w:rsid w:val="008C7835"/>
    <w:rsid w:val="008D3880"/>
    <w:rsid w:val="008D4C80"/>
    <w:rsid w:val="008D6BAD"/>
    <w:rsid w:val="008D6FC7"/>
    <w:rsid w:val="008E0CD5"/>
    <w:rsid w:val="008E540C"/>
    <w:rsid w:val="008F3B17"/>
    <w:rsid w:val="00914280"/>
    <w:rsid w:val="00915E5E"/>
    <w:rsid w:val="00927EE2"/>
    <w:rsid w:val="0093496E"/>
    <w:rsid w:val="00943FCF"/>
    <w:rsid w:val="009532A8"/>
    <w:rsid w:val="009538F4"/>
    <w:rsid w:val="00960CFF"/>
    <w:rsid w:val="0096126A"/>
    <w:rsid w:val="009672EA"/>
    <w:rsid w:val="00974E6E"/>
    <w:rsid w:val="00975C90"/>
    <w:rsid w:val="009762AD"/>
    <w:rsid w:val="0098018E"/>
    <w:rsid w:val="009804CA"/>
    <w:rsid w:val="00982D4E"/>
    <w:rsid w:val="009A0838"/>
    <w:rsid w:val="009B15D2"/>
    <w:rsid w:val="009C5BE3"/>
    <w:rsid w:val="009C618D"/>
    <w:rsid w:val="009C668E"/>
    <w:rsid w:val="009C7EC3"/>
    <w:rsid w:val="009D17B6"/>
    <w:rsid w:val="009D3513"/>
    <w:rsid w:val="009D3F3F"/>
    <w:rsid w:val="009E08EA"/>
    <w:rsid w:val="009E3354"/>
    <w:rsid w:val="009E4B19"/>
    <w:rsid w:val="009E6BF3"/>
    <w:rsid w:val="00A03401"/>
    <w:rsid w:val="00A0620F"/>
    <w:rsid w:val="00A15A6A"/>
    <w:rsid w:val="00A2122E"/>
    <w:rsid w:val="00A2348F"/>
    <w:rsid w:val="00A25AFE"/>
    <w:rsid w:val="00A30D8B"/>
    <w:rsid w:val="00A32C43"/>
    <w:rsid w:val="00A46E63"/>
    <w:rsid w:val="00A502ED"/>
    <w:rsid w:val="00A55726"/>
    <w:rsid w:val="00A570F3"/>
    <w:rsid w:val="00A5768A"/>
    <w:rsid w:val="00A579CE"/>
    <w:rsid w:val="00A6508B"/>
    <w:rsid w:val="00A66C1E"/>
    <w:rsid w:val="00A67BBB"/>
    <w:rsid w:val="00A71C73"/>
    <w:rsid w:val="00A75277"/>
    <w:rsid w:val="00A765E7"/>
    <w:rsid w:val="00A868B4"/>
    <w:rsid w:val="00A90B59"/>
    <w:rsid w:val="00A91D80"/>
    <w:rsid w:val="00A963BC"/>
    <w:rsid w:val="00AA3699"/>
    <w:rsid w:val="00AB26D1"/>
    <w:rsid w:val="00AB32DB"/>
    <w:rsid w:val="00AB38E0"/>
    <w:rsid w:val="00AB5FEC"/>
    <w:rsid w:val="00AB7F0D"/>
    <w:rsid w:val="00AC2BD4"/>
    <w:rsid w:val="00AD18C9"/>
    <w:rsid w:val="00AD244A"/>
    <w:rsid w:val="00AD3D69"/>
    <w:rsid w:val="00AD79FF"/>
    <w:rsid w:val="00AE6342"/>
    <w:rsid w:val="00B00C8D"/>
    <w:rsid w:val="00B063F3"/>
    <w:rsid w:val="00B065DB"/>
    <w:rsid w:val="00B106FE"/>
    <w:rsid w:val="00B113F3"/>
    <w:rsid w:val="00B14BBD"/>
    <w:rsid w:val="00B24CDE"/>
    <w:rsid w:val="00B24EC3"/>
    <w:rsid w:val="00B27152"/>
    <w:rsid w:val="00B361FE"/>
    <w:rsid w:val="00B420C2"/>
    <w:rsid w:val="00B64443"/>
    <w:rsid w:val="00B64E64"/>
    <w:rsid w:val="00B6521C"/>
    <w:rsid w:val="00B66E1D"/>
    <w:rsid w:val="00B67366"/>
    <w:rsid w:val="00B740C7"/>
    <w:rsid w:val="00B74B97"/>
    <w:rsid w:val="00B77FFC"/>
    <w:rsid w:val="00B82800"/>
    <w:rsid w:val="00B84857"/>
    <w:rsid w:val="00B902D4"/>
    <w:rsid w:val="00B94AF5"/>
    <w:rsid w:val="00B954F2"/>
    <w:rsid w:val="00BA42A7"/>
    <w:rsid w:val="00BA4E77"/>
    <w:rsid w:val="00BB18C8"/>
    <w:rsid w:val="00BB1D59"/>
    <w:rsid w:val="00BB6C3A"/>
    <w:rsid w:val="00BC2AC2"/>
    <w:rsid w:val="00BC2AEE"/>
    <w:rsid w:val="00BC7760"/>
    <w:rsid w:val="00BF35EB"/>
    <w:rsid w:val="00BF60F5"/>
    <w:rsid w:val="00C0241B"/>
    <w:rsid w:val="00C045BD"/>
    <w:rsid w:val="00C04AA8"/>
    <w:rsid w:val="00C05FE4"/>
    <w:rsid w:val="00C063FC"/>
    <w:rsid w:val="00C146D4"/>
    <w:rsid w:val="00C20E20"/>
    <w:rsid w:val="00C23C14"/>
    <w:rsid w:val="00C37B26"/>
    <w:rsid w:val="00C43E95"/>
    <w:rsid w:val="00C453DD"/>
    <w:rsid w:val="00C46521"/>
    <w:rsid w:val="00C57663"/>
    <w:rsid w:val="00C57E1E"/>
    <w:rsid w:val="00C750E4"/>
    <w:rsid w:val="00CA6793"/>
    <w:rsid w:val="00CB3744"/>
    <w:rsid w:val="00CC1A3A"/>
    <w:rsid w:val="00CC283B"/>
    <w:rsid w:val="00CD192D"/>
    <w:rsid w:val="00CF2943"/>
    <w:rsid w:val="00D01E32"/>
    <w:rsid w:val="00D03D6A"/>
    <w:rsid w:val="00D06AF3"/>
    <w:rsid w:val="00D137C0"/>
    <w:rsid w:val="00D14139"/>
    <w:rsid w:val="00D165D1"/>
    <w:rsid w:val="00D2299D"/>
    <w:rsid w:val="00D22EF2"/>
    <w:rsid w:val="00D24F3E"/>
    <w:rsid w:val="00D27656"/>
    <w:rsid w:val="00D374DF"/>
    <w:rsid w:val="00D4152D"/>
    <w:rsid w:val="00D535DA"/>
    <w:rsid w:val="00D6445A"/>
    <w:rsid w:val="00D7135B"/>
    <w:rsid w:val="00D73F65"/>
    <w:rsid w:val="00D8085D"/>
    <w:rsid w:val="00D81B5C"/>
    <w:rsid w:val="00D832B3"/>
    <w:rsid w:val="00D906C9"/>
    <w:rsid w:val="00D948A3"/>
    <w:rsid w:val="00D95F4B"/>
    <w:rsid w:val="00DA4B7B"/>
    <w:rsid w:val="00DB0F54"/>
    <w:rsid w:val="00DB1303"/>
    <w:rsid w:val="00DB3578"/>
    <w:rsid w:val="00DC0721"/>
    <w:rsid w:val="00DC0ED2"/>
    <w:rsid w:val="00DC2362"/>
    <w:rsid w:val="00DD2A99"/>
    <w:rsid w:val="00DE2E7B"/>
    <w:rsid w:val="00DE3311"/>
    <w:rsid w:val="00DE744E"/>
    <w:rsid w:val="00DE7DDE"/>
    <w:rsid w:val="00DE7E4A"/>
    <w:rsid w:val="00DF0392"/>
    <w:rsid w:val="00E06629"/>
    <w:rsid w:val="00E07E86"/>
    <w:rsid w:val="00E10021"/>
    <w:rsid w:val="00E13482"/>
    <w:rsid w:val="00E135FB"/>
    <w:rsid w:val="00E13BF4"/>
    <w:rsid w:val="00E14172"/>
    <w:rsid w:val="00E15371"/>
    <w:rsid w:val="00E20856"/>
    <w:rsid w:val="00E27AB2"/>
    <w:rsid w:val="00E33B88"/>
    <w:rsid w:val="00E37E7F"/>
    <w:rsid w:val="00E435FF"/>
    <w:rsid w:val="00E46472"/>
    <w:rsid w:val="00E46735"/>
    <w:rsid w:val="00E47258"/>
    <w:rsid w:val="00E47961"/>
    <w:rsid w:val="00E47F3D"/>
    <w:rsid w:val="00E50354"/>
    <w:rsid w:val="00E54355"/>
    <w:rsid w:val="00E74C2B"/>
    <w:rsid w:val="00E82D33"/>
    <w:rsid w:val="00E8673B"/>
    <w:rsid w:val="00E87AE4"/>
    <w:rsid w:val="00E91628"/>
    <w:rsid w:val="00E925A9"/>
    <w:rsid w:val="00EA48BC"/>
    <w:rsid w:val="00EA558F"/>
    <w:rsid w:val="00EB15AE"/>
    <w:rsid w:val="00EB6C28"/>
    <w:rsid w:val="00EC2B87"/>
    <w:rsid w:val="00ED15BC"/>
    <w:rsid w:val="00ED2DC6"/>
    <w:rsid w:val="00ED4618"/>
    <w:rsid w:val="00EE2FC4"/>
    <w:rsid w:val="00EE66BD"/>
    <w:rsid w:val="00EE6D8C"/>
    <w:rsid w:val="00EF01C9"/>
    <w:rsid w:val="00EF125F"/>
    <w:rsid w:val="00EF45E9"/>
    <w:rsid w:val="00F00A7A"/>
    <w:rsid w:val="00F10522"/>
    <w:rsid w:val="00F13F3A"/>
    <w:rsid w:val="00F1472F"/>
    <w:rsid w:val="00F16656"/>
    <w:rsid w:val="00F2226A"/>
    <w:rsid w:val="00F30ECE"/>
    <w:rsid w:val="00F31045"/>
    <w:rsid w:val="00F3306F"/>
    <w:rsid w:val="00F427DC"/>
    <w:rsid w:val="00F501E6"/>
    <w:rsid w:val="00F527CC"/>
    <w:rsid w:val="00F557EC"/>
    <w:rsid w:val="00F70794"/>
    <w:rsid w:val="00F719DE"/>
    <w:rsid w:val="00F71E1B"/>
    <w:rsid w:val="00F724A4"/>
    <w:rsid w:val="00F72E39"/>
    <w:rsid w:val="00F76C82"/>
    <w:rsid w:val="00F841C5"/>
    <w:rsid w:val="00F86A6B"/>
    <w:rsid w:val="00F90355"/>
    <w:rsid w:val="00F9465F"/>
    <w:rsid w:val="00FA5412"/>
    <w:rsid w:val="00FC39EE"/>
    <w:rsid w:val="00FC69FD"/>
    <w:rsid w:val="00FC71FD"/>
    <w:rsid w:val="00FE18B0"/>
    <w:rsid w:val="00FE79C3"/>
    <w:rsid w:val="318B1BB6"/>
    <w:rsid w:val="692A2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380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iPriority="99" w:unhideWhenUsed="0"/>
    <w:lsdException w:name="caption" w:qFormat="1"/>
    <w:lsdException w:name="line number" w:semiHidden="0" w:unhideWhenUsed="0" w:qFormat="1"/>
    <w:lsdException w:name="page number" w:semiHidden="0" w:unhideWhenUsed="0"/>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w:semiHidden="0" w:unhideWhenUsed="0" w:qFormat="1"/>
    <w:lsdException w:name="Body Text Indent" w:semiHidden="0" w:unhideWhenUsed="0"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Indent 2" w:semiHidden="0" w:unhideWhenUsed="0" w:qFormat="1"/>
    <w:lsdException w:name="Hyperlink" w:semiHidden="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ind w:leftChars="-85" w:left="-178" w:firstLineChars="842" w:firstLine="7073"/>
      <w:outlineLvl w:val="0"/>
    </w:pPr>
    <w:rPr>
      <w:sz w:val="84"/>
    </w:rPr>
  </w:style>
  <w:style w:type="paragraph" w:styleId="2">
    <w:name w:val="heading 2"/>
    <w:basedOn w:val="a"/>
    <w:next w:val="a"/>
    <w:qFormat/>
    <w:pPr>
      <w:keepNext/>
      <w:ind w:firstLineChars="900" w:firstLine="7560"/>
      <w:outlineLvl w:val="1"/>
    </w:pPr>
    <w:rPr>
      <w:rFonts w:ascii="黑体" w:eastAsia="黑体" w:hAnsi="MS Gothic"/>
      <w:sz w:val="84"/>
    </w:rPr>
  </w:style>
  <w:style w:type="paragraph" w:styleId="3">
    <w:name w:val="heading 3"/>
    <w:basedOn w:val="a"/>
    <w:next w:val="a"/>
    <w:qFormat/>
    <w:pPr>
      <w:keepNext/>
      <w:outlineLvl w:val="2"/>
    </w:pPr>
    <w:rPr>
      <w:rFonts w:ascii="黑体" w:eastAsia="黑体"/>
      <w:b/>
      <w:bCs/>
      <w:sz w:val="36"/>
      <w:u w:val="single"/>
    </w:rPr>
  </w:style>
  <w:style w:type="paragraph" w:styleId="4">
    <w:name w:val="heading 4"/>
    <w:basedOn w:val="a"/>
    <w:next w:val="a"/>
    <w:qFormat/>
    <w:pPr>
      <w:keepNext/>
      <w:framePr w:w="3420" w:h="1860" w:hSpace="180" w:wrap="around" w:vAnchor="text" w:hAnchor="page" w:x="7107" w:y="321"/>
      <w:ind w:firstLineChars="100" w:firstLine="280"/>
      <w:outlineLvl w:val="3"/>
    </w:pPr>
    <w:rPr>
      <w:rFonts w:eastAsia="黑体"/>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spacing w:after="120"/>
    </w:pPr>
  </w:style>
  <w:style w:type="paragraph" w:styleId="a4">
    <w:name w:val="Body Text Indent"/>
    <w:basedOn w:val="a"/>
    <w:qFormat/>
    <w:pPr>
      <w:ind w:firstLineChars="200" w:firstLine="480"/>
    </w:pPr>
    <w:rPr>
      <w:rFonts w:ascii="黑体" w:eastAsia="黑体"/>
      <w:sz w:val="24"/>
    </w:rPr>
  </w:style>
  <w:style w:type="paragraph" w:styleId="a5">
    <w:name w:val="Date"/>
    <w:basedOn w:val="a"/>
    <w:next w:val="a"/>
    <w:qFormat/>
    <w:pPr>
      <w:ind w:leftChars="2500" w:left="100"/>
    </w:pPr>
    <w:rPr>
      <w:rFonts w:ascii="黑体" w:eastAsia="黑体"/>
      <w:sz w:val="24"/>
    </w:rPr>
  </w:style>
  <w:style w:type="paragraph" w:styleId="20">
    <w:name w:val="Body Text Indent 2"/>
    <w:basedOn w:val="a"/>
    <w:link w:val="2Char"/>
    <w:qFormat/>
    <w:pPr>
      <w:spacing w:after="120" w:line="480" w:lineRule="auto"/>
      <w:ind w:leftChars="200" w:left="420"/>
    </w:pPr>
  </w:style>
  <w:style w:type="paragraph" w:styleId="a6">
    <w:name w:val="Balloon Text"/>
    <w:basedOn w:val="a"/>
    <w:link w:val="Char0"/>
    <w:semiHidden/>
    <w:unhideWhenUsed/>
    <w:qFormat/>
    <w:rPr>
      <w:sz w:val="18"/>
      <w:szCs w:val="18"/>
    </w:rPr>
  </w:style>
  <w:style w:type="paragraph" w:styleId="a7">
    <w:name w:val="footer"/>
    <w:basedOn w:val="a"/>
    <w:link w:val="Char1"/>
    <w:uiPriority w:val="99"/>
    <w:pPr>
      <w:tabs>
        <w:tab w:val="center" w:pos="4153"/>
        <w:tab w:val="right" w:pos="8306"/>
      </w:tabs>
      <w:snapToGrid w:val="0"/>
      <w:jc w:val="left"/>
    </w:pPr>
    <w:rPr>
      <w:sz w:val="18"/>
      <w:szCs w:val="18"/>
    </w:rPr>
  </w:style>
  <w:style w:type="paragraph" w:styleId="a8">
    <w:name w:val="header"/>
    <w:basedOn w:val="a"/>
    <w:link w:val="Char2"/>
    <w:pPr>
      <w:pBdr>
        <w:bottom w:val="single" w:sz="6" w:space="1" w:color="auto"/>
      </w:pBdr>
      <w:tabs>
        <w:tab w:val="center" w:pos="4153"/>
        <w:tab w:val="right" w:pos="8306"/>
      </w:tabs>
      <w:snapToGrid w:val="0"/>
      <w:jc w:val="center"/>
    </w:pPr>
    <w:rPr>
      <w:sz w:val="18"/>
      <w:szCs w:val="18"/>
    </w:rPr>
  </w:style>
  <w:style w:type="character" w:styleId="a9">
    <w:name w:val="page number"/>
    <w:basedOn w:val="a0"/>
  </w:style>
  <w:style w:type="character" w:styleId="aa">
    <w:name w:val="line number"/>
    <w:basedOn w:val="a0"/>
    <w:qFormat/>
  </w:style>
  <w:style w:type="character" w:styleId="ab">
    <w:name w:val="Hyperlink"/>
    <w:basedOn w:val="a0"/>
    <w:unhideWhenUsed/>
    <w:qFormat/>
    <w:rPr>
      <w:color w:val="0563C1" w:themeColor="hyperlink"/>
      <w:u w:val="single"/>
    </w:rPr>
  </w:style>
  <w:style w:type="character" w:customStyle="1" w:styleId="Char2">
    <w:name w:val="页眉 Char"/>
    <w:link w:val="a8"/>
    <w:rPr>
      <w:kern w:val="2"/>
      <w:sz w:val="18"/>
      <w:szCs w:val="18"/>
    </w:rPr>
  </w:style>
  <w:style w:type="character" w:customStyle="1" w:styleId="Char1">
    <w:name w:val="页脚 Char"/>
    <w:link w:val="a7"/>
    <w:uiPriority w:val="99"/>
    <w:rPr>
      <w:kern w:val="2"/>
      <w:sz w:val="18"/>
      <w:szCs w:val="18"/>
    </w:rPr>
  </w:style>
  <w:style w:type="character" w:customStyle="1" w:styleId="Char">
    <w:name w:val="正文文本 Char"/>
    <w:link w:val="a3"/>
    <w:qFormat/>
    <w:rPr>
      <w:kern w:val="2"/>
      <w:sz w:val="21"/>
      <w:szCs w:val="24"/>
    </w:rPr>
  </w:style>
  <w:style w:type="paragraph" w:customStyle="1" w:styleId="CharChar">
    <w:name w:val="Char Char"/>
    <w:basedOn w:val="a"/>
    <w:qFormat/>
    <w:pPr>
      <w:widowControl/>
      <w:spacing w:after="160" w:line="240" w:lineRule="exact"/>
      <w:jc w:val="left"/>
    </w:pPr>
    <w:rPr>
      <w:rFonts w:ascii="Verdana" w:hAnsi="Verdana"/>
      <w:kern w:val="0"/>
      <w:sz w:val="20"/>
      <w:szCs w:val="20"/>
      <w:lang w:eastAsia="en-US"/>
    </w:rPr>
  </w:style>
  <w:style w:type="paragraph" w:styleId="ac">
    <w:name w:val="List Paragraph"/>
    <w:basedOn w:val="a"/>
    <w:uiPriority w:val="34"/>
    <w:qFormat/>
    <w:pPr>
      <w:ind w:firstLineChars="200" w:firstLine="420"/>
    </w:pPr>
  </w:style>
  <w:style w:type="paragraph" w:customStyle="1" w:styleId="CharChar1CharCharCharCharCharCharChar">
    <w:name w:val="Char Char1 Char Char Char Char Char Char Char"/>
    <w:basedOn w:val="a"/>
    <w:qFormat/>
    <w:pPr>
      <w:widowControl/>
      <w:spacing w:after="160" w:line="240" w:lineRule="exact"/>
      <w:jc w:val="left"/>
    </w:pPr>
    <w:rPr>
      <w:rFonts w:ascii="Tahoma" w:eastAsia="Times New Roman" w:hAnsi="Tahoma" w:cs="Tahoma"/>
      <w:kern w:val="0"/>
      <w:sz w:val="20"/>
      <w:szCs w:val="20"/>
      <w:lang w:eastAsia="en-US"/>
    </w:rPr>
  </w:style>
  <w:style w:type="character" w:customStyle="1" w:styleId="2Char">
    <w:name w:val="正文文本缩进 2 Char"/>
    <w:basedOn w:val="a0"/>
    <w:link w:val="20"/>
    <w:qFormat/>
    <w:rPr>
      <w:kern w:val="2"/>
      <w:sz w:val="21"/>
      <w:szCs w:val="24"/>
    </w:rPr>
  </w:style>
  <w:style w:type="paragraph" w:customStyle="1" w:styleId="CharCharCharCharCharChar1">
    <w:name w:val="Char Char Char Char Char Char1"/>
    <w:basedOn w:val="a"/>
    <w:qFormat/>
    <w:pPr>
      <w:widowControl/>
      <w:spacing w:after="160" w:line="240" w:lineRule="exact"/>
      <w:jc w:val="left"/>
    </w:pPr>
    <w:rPr>
      <w:rFonts w:ascii="Verdana" w:eastAsia="仿宋_GB2312" w:hAnsi="Verdana"/>
      <w:kern w:val="0"/>
      <w:sz w:val="24"/>
      <w:szCs w:val="20"/>
      <w:lang w:eastAsia="en-US"/>
    </w:rPr>
  </w:style>
  <w:style w:type="character" w:customStyle="1" w:styleId="Char0">
    <w:name w:val="批注框文本 Char"/>
    <w:basedOn w:val="a0"/>
    <w:link w:val="a6"/>
    <w:semiHidden/>
    <w:qFormat/>
    <w:rPr>
      <w:kern w:val="2"/>
      <w:sz w:val="18"/>
      <w:szCs w:val="18"/>
    </w:rPr>
  </w:style>
  <w:style w:type="character" w:customStyle="1" w:styleId="translated-span">
    <w:name w:val="translated-span"/>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iPriority="99" w:unhideWhenUsed="0"/>
    <w:lsdException w:name="caption" w:qFormat="1"/>
    <w:lsdException w:name="line number" w:semiHidden="0" w:unhideWhenUsed="0" w:qFormat="1"/>
    <w:lsdException w:name="page number" w:semiHidden="0" w:unhideWhenUsed="0"/>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w:semiHidden="0" w:unhideWhenUsed="0" w:qFormat="1"/>
    <w:lsdException w:name="Body Text Indent" w:semiHidden="0" w:unhideWhenUsed="0"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Indent 2" w:semiHidden="0" w:unhideWhenUsed="0" w:qFormat="1"/>
    <w:lsdException w:name="Hyperlink" w:semiHidden="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ind w:leftChars="-85" w:left="-178" w:firstLineChars="842" w:firstLine="7073"/>
      <w:outlineLvl w:val="0"/>
    </w:pPr>
    <w:rPr>
      <w:sz w:val="84"/>
    </w:rPr>
  </w:style>
  <w:style w:type="paragraph" w:styleId="2">
    <w:name w:val="heading 2"/>
    <w:basedOn w:val="a"/>
    <w:next w:val="a"/>
    <w:qFormat/>
    <w:pPr>
      <w:keepNext/>
      <w:ind w:firstLineChars="900" w:firstLine="7560"/>
      <w:outlineLvl w:val="1"/>
    </w:pPr>
    <w:rPr>
      <w:rFonts w:ascii="黑体" w:eastAsia="黑体" w:hAnsi="MS Gothic"/>
      <w:sz w:val="84"/>
    </w:rPr>
  </w:style>
  <w:style w:type="paragraph" w:styleId="3">
    <w:name w:val="heading 3"/>
    <w:basedOn w:val="a"/>
    <w:next w:val="a"/>
    <w:qFormat/>
    <w:pPr>
      <w:keepNext/>
      <w:outlineLvl w:val="2"/>
    </w:pPr>
    <w:rPr>
      <w:rFonts w:ascii="黑体" w:eastAsia="黑体"/>
      <w:b/>
      <w:bCs/>
      <w:sz w:val="36"/>
      <w:u w:val="single"/>
    </w:rPr>
  </w:style>
  <w:style w:type="paragraph" w:styleId="4">
    <w:name w:val="heading 4"/>
    <w:basedOn w:val="a"/>
    <w:next w:val="a"/>
    <w:qFormat/>
    <w:pPr>
      <w:keepNext/>
      <w:framePr w:w="3420" w:h="1860" w:hSpace="180" w:wrap="around" w:vAnchor="text" w:hAnchor="page" w:x="7107" w:y="321"/>
      <w:ind w:firstLineChars="100" w:firstLine="280"/>
      <w:outlineLvl w:val="3"/>
    </w:pPr>
    <w:rPr>
      <w:rFonts w:eastAsia="黑体"/>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spacing w:after="120"/>
    </w:pPr>
  </w:style>
  <w:style w:type="paragraph" w:styleId="a4">
    <w:name w:val="Body Text Indent"/>
    <w:basedOn w:val="a"/>
    <w:qFormat/>
    <w:pPr>
      <w:ind w:firstLineChars="200" w:firstLine="480"/>
    </w:pPr>
    <w:rPr>
      <w:rFonts w:ascii="黑体" w:eastAsia="黑体"/>
      <w:sz w:val="24"/>
    </w:rPr>
  </w:style>
  <w:style w:type="paragraph" w:styleId="a5">
    <w:name w:val="Date"/>
    <w:basedOn w:val="a"/>
    <w:next w:val="a"/>
    <w:qFormat/>
    <w:pPr>
      <w:ind w:leftChars="2500" w:left="100"/>
    </w:pPr>
    <w:rPr>
      <w:rFonts w:ascii="黑体" w:eastAsia="黑体"/>
      <w:sz w:val="24"/>
    </w:rPr>
  </w:style>
  <w:style w:type="paragraph" w:styleId="20">
    <w:name w:val="Body Text Indent 2"/>
    <w:basedOn w:val="a"/>
    <w:link w:val="2Char"/>
    <w:qFormat/>
    <w:pPr>
      <w:spacing w:after="120" w:line="480" w:lineRule="auto"/>
      <w:ind w:leftChars="200" w:left="420"/>
    </w:pPr>
  </w:style>
  <w:style w:type="paragraph" w:styleId="a6">
    <w:name w:val="Balloon Text"/>
    <w:basedOn w:val="a"/>
    <w:link w:val="Char0"/>
    <w:semiHidden/>
    <w:unhideWhenUsed/>
    <w:qFormat/>
    <w:rPr>
      <w:sz w:val="18"/>
      <w:szCs w:val="18"/>
    </w:rPr>
  </w:style>
  <w:style w:type="paragraph" w:styleId="a7">
    <w:name w:val="footer"/>
    <w:basedOn w:val="a"/>
    <w:link w:val="Char1"/>
    <w:uiPriority w:val="99"/>
    <w:pPr>
      <w:tabs>
        <w:tab w:val="center" w:pos="4153"/>
        <w:tab w:val="right" w:pos="8306"/>
      </w:tabs>
      <w:snapToGrid w:val="0"/>
      <w:jc w:val="left"/>
    </w:pPr>
    <w:rPr>
      <w:sz w:val="18"/>
      <w:szCs w:val="18"/>
    </w:rPr>
  </w:style>
  <w:style w:type="paragraph" w:styleId="a8">
    <w:name w:val="header"/>
    <w:basedOn w:val="a"/>
    <w:link w:val="Char2"/>
    <w:pPr>
      <w:pBdr>
        <w:bottom w:val="single" w:sz="6" w:space="1" w:color="auto"/>
      </w:pBdr>
      <w:tabs>
        <w:tab w:val="center" w:pos="4153"/>
        <w:tab w:val="right" w:pos="8306"/>
      </w:tabs>
      <w:snapToGrid w:val="0"/>
      <w:jc w:val="center"/>
    </w:pPr>
    <w:rPr>
      <w:sz w:val="18"/>
      <w:szCs w:val="18"/>
    </w:rPr>
  </w:style>
  <w:style w:type="character" w:styleId="a9">
    <w:name w:val="page number"/>
    <w:basedOn w:val="a0"/>
  </w:style>
  <w:style w:type="character" w:styleId="aa">
    <w:name w:val="line number"/>
    <w:basedOn w:val="a0"/>
    <w:qFormat/>
  </w:style>
  <w:style w:type="character" w:styleId="ab">
    <w:name w:val="Hyperlink"/>
    <w:basedOn w:val="a0"/>
    <w:unhideWhenUsed/>
    <w:qFormat/>
    <w:rPr>
      <w:color w:val="0563C1" w:themeColor="hyperlink"/>
      <w:u w:val="single"/>
    </w:rPr>
  </w:style>
  <w:style w:type="character" w:customStyle="1" w:styleId="Char2">
    <w:name w:val="页眉 Char"/>
    <w:link w:val="a8"/>
    <w:rPr>
      <w:kern w:val="2"/>
      <w:sz w:val="18"/>
      <w:szCs w:val="18"/>
    </w:rPr>
  </w:style>
  <w:style w:type="character" w:customStyle="1" w:styleId="Char1">
    <w:name w:val="页脚 Char"/>
    <w:link w:val="a7"/>
    <w:uiPriority w:val="99"/>
    <w:rPr>
      <w:kern w:val="2"/>
      <w:sz w:val="18"/>
      <w:szCs w:val="18"/>
    </w:rPr>
  </w:style>
  <w:style w:type="character" w:customStyle="1" w:styleId="Char">
    <w:name w:val="正文文本 Char"/>
    <w:link w:val="a3"/>
    <w:qFormat/>
    <w:rPr>
      <w:kern w:val="2"/>
      <w:sz w:val="21"/>
      <w:szCs w:val="24"/>
    </w:rPr>
  </w:style>
  <w:style w:type="paragraph" w:customStyle="1" w:styleId="CharChar">
    <w:name w:val="Char Char"/>
    <w:basedOn w:val="a"/>
    <w:qFormat/>
    <w:pPr>
      <w:widowControl/>
      <w:spacing w:after="160" w:line="240" w:lineRule="exact"/>
      <w:jc w:val="left"/>
    </w:pPr>
    <w:rPr>
      <w:rFonts w:ascii="Verdana" w:hAnsi="Verdana"/>
      <w:kern w:val="0"/>
      <w:sz w:val="20"/>
      <w:szCs w:val="20"/>
      <w:lang w:eastAsia="en-US"/>
    </w:rPr>
  </w:style>
  <w:style w:type="paragraph" w:styleId="ac">
    <w:name w:val="List Paragraph"/>
    <w:basedOn w:val="a"/>
    <w:uiPriority w:val="34"/>
    <w:qFormat/>
    <w:pPr>
      <w:ind w:firstLineChars="200" w:firstLine="420"/>
    </w:pPr>
  </w:style>
  <w:style w:type="paragraph" w:customStyle="1" w:styleId="CharChar1CharCharCharCharCharCharChar">
    <w:name w:val="Char Char1 Char Char Char Char Char Char Char"/>
    <w:basedOn w:val="a"/>
    <w:qFormat/>
    <w:pPr>
      <w:widowControl/>
      <w:spacing w:after="160" w:line="240" w:lineRule="exact"/>
      <w:jc w:val="left"/>
    </w:pPr>
    <w:rPr>
      <w:rFonts w:ascii="Tahoma" w:eastAsia="Times New Roman" w:hAnsi="Tahoma" w:cs="Tahoma"/>
      <w:kern w:val="0"/>
      <w:sz w:val="20"/>
      <w:szCs w:val="20"/>
      <w:lang w:eastAsia="en-US"/>
    </w:rPr>
  </w:style>
  <w:style w:type="character" w:customStyle="1" w:styleId="2Char">
    <w:name w:val="正文文本缩进 2 Char"/>
    <w:basedOn w:val="a0"/>
    <w:link w:val="20"/>
    <w:qFormat/>
    <w:rPr>
      <w:kern w:val="2"/>
      <w:sz w:val="21"/>
      <w:szCs w:val="24"/>
    </w:rPr>
  </w:style>
  <w:style w:type="paragraph" w:customStyle="1" w:styleId="CharCharCharCharCharChar1">
    <w:name w:val="Char Char Char Char Char Char1"/>
    <w:basedOn w:val="a"/>
    <w:qFormat/>
    <w:pPr>
      <w:widowControl/>
      <w:spacing w:after="160" w:line="240" w:lineRule="exact"/>
      <w:jc w:val="left"/>
    </w:pPr>
    <w:rPr>
      <w:rFonts w:ascii="Verdana" w:eastAsia="仿宋_GB2312" w:hAnsi="Verdana"/>
      <w:kern w:val="0"/>
      <w:sz w:val="24"/>
      <w:szCs w:val="20"/>
      <w:lang w:eastAsia="en-US"/>
    </w:rPr>
  </w:style>
  <w:style w:type="character" w:customStyle="1" w:styleId="Char0">
    <w:name w:val="批注框文本 Char"/>
    <w:basedOn w:val="a0"/>
    <w:link w:val="a6"/>
    <w:semiHidden/>
    <w:qFormat/>
    <w:rPr>
      <w:kern w:val="2"/>
      <w:sz w:val="18"/>
      <w:szCs w:val="18"/>
    </w:rPr>
  </w:style>
  <w:style w:type="character" w:customStyle="1" w:styleId="translated-span">
    <w:name w:val="translated-spa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cma-cma.or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931</Words>
  <Characters>5312</Characters>
  <Application>Microsoft Office Word</Application>
  <DocSecurity>0</DocSecurity>
  <Lines>44</Lines>
  <Paragraphs>12</Paragraphs>
  <ScaleCrop>false</ScaleCrop>
  <Company>SIMT</Company>
  <LinksUpToDate>false</LinksUpToDate>
  <CharactersWithSpaces>6231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YT</dc:creator>
  <cp:lastModifiedBy>YT</cp:lastModifiedBy>
  <cp:revision>4</cp:revision>
  <cp:lastPrinted>2015-03-11T06:23:00Z</cp:lastPrinted>
  <dcterms:created xsi:type="dcterms:W3CDTF">2022-12-15T12:33:00Z</dcterms:created>
  <dcterms:modified xsi:type="dcterms:W3CDTF">2024-05-22T06:38:00Z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C438752C64254918AA6692999112C4C5</vt:lpwstr>
  </property>
</Properties>
</file>