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19F51">
      <w:pPr>
        <w:spacing w:line="360" w:lineRule="auto"/>
        <w:jc w:val="center"/>
        <w:rPr>
          <w:rFonts w:hint="default" w:ascii="Times New Roman" w:hAnsi="Times New Roman" w:cs="Times New Roman"/>
          <w:sz w:val="48"/>
          <w:szCs w:val="48"/>
        </w:rPr>
      </w:pPr>
    </w:p>
    <w:p w14:paraId="796C8607">
      <w:pPr>
        <w:spacing w:line="360" w:lineRule="auto"/>
        <w:jc w:val="center"/>
        <w:rPr>
          <w:rFonts w:hint="default" w:ascii="Times New Roman" w:hAnsi="Times New Roman" w:cs="Times New Roman"/>
          <w:sz w:val="48"/>
          <w:szCs w:val="48"/>
        </w:rPr>
      </w:pPr>
    </w:p>
    <w:p w14:paraId="6DF37047">
      <w:pPr>
        <w:spacing w:line="360" w:lineRule="auto"/>
        <w:jc w:val="center"/>
        <w:rPr>
          <w:rFonts w:hint="default" w:ascii="Times New Roman" w:hAnsi="Times New Roman" w:cs="Times New Roman"/>
          <w:sz w:val="40"/>
          <w:szCs w:val="40"/>
        </w:rPr>
      </w:pPr>
      <w:r>
        <w:rPr>
          <w:rFonts w:hint="default" w:ascii="Times New Roman" w:hAnsi="Times New Roman" w:cs="Times New Roman"/>
          <w:sz w:val="40"/>
          <w:szCs w:val="40"/>
        </w:rPr>
        <w:t>国家计量技术规范</w:t>
      </w:r>
    </w:p>
    <w:p w14:paraId="23139AD3">
      <w:pPr>
        <w:spacing w:before="312" w:beforeLines="100" w:after="312" w:afterLines="100" w:line="360" w:lineRule="auto"/>
        <w:jc w:val="center"/>
        <w:rPr>
          <w:rFonts w:hint="default" w:ascii="Times New Roman" w:hAnsi="Times New Roman" w:cs="Times New Roman"/>
          <w:sz w:val="40"/>
          <w:szCs w:val="40"/>
        </w:rPr>
      </w:pPr>
      <w:r>
        <w:rPr>
          <w:rFonts w:hint="default" w:ascii="Times New Roman" w:hAnsi="Times New Roman" w:cs="Times New Roman"/>
          <w:sz w:val="40"/>
          <w:szCs w:val="40"/>
        </w:rPr>
        <w:t>《计量器具元数据及交换规范》</w:t>
      </w:r>
    </w:p>
    <w:p w14:paraId="578F989D">
      <w:pPr>
        <w:spacing w:before="312" w:beforeLines="100" w:after="312" w:afterLines="100" w:line="360" w:lineRule="auto"/>
        <w:jc w:val="center"/>
        <w:rPr>
          <w:rFonts w:hint="default" w:ascii="Times New Roman" w:hAnsi="Times New Roman" w:cs="Times New Roman"/>
          <w:sz w:val="40"/>
          <w:szCs w:val="40"/>
        </w:rPr>
      </w:pPr>
      <w:r>
        <w:rPr>
          <w:rFonts w:hint="default" w:ascii="Times New Roman" w:hAnsi="Times New Roman" w:cs="Times New Roman"/>
          <w:sz w:val="40"/>
          <w:szCs w:val="40"/>
        </w:rPr>
        <w:t>编制说明</w:t>
      </w:r>
    </w:p>
    <w:p w14:paraId="2C085D3E">
      <w:pPr>
        <w:spacing w:before="312" w:beforeLines="100" w:after="312" w:afterLines="100" w:line="360" w:lineRule="auto"/>
        <w:jc w:val="center"/>
        <w:rPr>
          <w:rFonts w:hint="default" w:ascii="Times New Roman" w:hAnsi="Times New Roman" w:cs="Times New Roman"/>
          <w:sz w:val="48"/>
          <w:szCs w:val="48"/>
        </w:rPr>
      </w:pPr>
    </w:p>
    <w:p w14:paraId="51BD8B5A">
      <w:pPr>
        <w:spacing w:before="312" w:beforeLines="100" w:after="312" w:afterLines="100" w:line="360" w:lineRule="auto"/>
        <w:jc w:val="center"/>
        <w:rPr>
          <w:rFonts w:hint="default" w:ascii="Times New Roman" w:hAnsi="Times New Roman" w:cs="Times New Roman"/>
          <w:sz w:val="48"/>
          <w:szCs w:val="48"/>
        </w:rPr>
      </w:pPr>
    </w:p>
    <w:p w14:paraId="71B5CFBD">
      <w:pPr>
        <w:spacing w:before="312" w:beforeLines="100" w:after="312" w:afterLines="100" w:line="360" w:lineRule="auto"/>
        <w:jc w:val="center"/>
        <w:rPr>
          <w:rFonts w:hint="default" w:ascii="Times New Roman" w:hAnsi="Times New Roman" w:cs="Times New Roman"/>
          <w:sz w:val="48"/>
          <w:szCs w:val="48"/>
        </w:rPr>
      </w:pPr>
    </w:p>
    <w:p w14:paraId="4AE6CEB5">
      <w:pPr>
        <w:spacing w:before="312" w:beforeLines="100" w:after="312" w:afterLines="100" w:line="360" w:lineRule="auto"/>
        <w:jc w:val="center"/>
        <w:rPr>
          <w:rFonts w:hint="default" w:ascii="Times New Roman" w:hAnsi="Times New Roman" w:cs="Times New Roman"/>
          <w:sz w:val="48"/>
          <w:szCs w:val="48"/>
        </w:rPr>
      </w:pPr>
    </w:p>
    <w:p w14:paraId="11461C0D">
      <w:pPr>
        <w:spacing w:before="312" w:beforeLines="100" w:after="312" w:afterLines="100" w:line="360" w:lineRule="auto"/>
        <w:jc w:val="center"/>
        <w:rPr>
          <w:rFonts w:hint="default" w:ascii="Times New Roman" w:hAnsi="Times New Roman" w:cs="Times New Roman"/>
          <w:sz w:val="48"/>
          <w:szCs w:val="48"/>
        </w:rPr>
      </w:pPr>
    </w:p>
    <w:p w14:paraId="34C8F9EA">
      <w:pPr>
        <w:spacing w:before="312" w:beforeLines="100" w:after="312" w:afterLines="100" w:line="360" w:lineRule="auto"/>
        <w:jc w:val="center"/>
        <w:rPr>
          <w:rFonts w:hint="default" w:ascii="Times New Roman" w:hAnsi="Times New Roman" w:cs="Times New Roman"/>
          <w:sz w:val="48"/>
          <w:szCs w:val="48"/>
        </w:rPr>
      </w:pPr>
    </w:p>
    <w:p w14:paraId="05CCDAFA">
      <w:pPr>
        <w:spacing w:before="312" w:beforeLines="100" w:after="312" w:afterLines="100" w:line="360" w:lineRule="auto"/>
        <w:jc w:val="center"/>
        <w:rPr>
          <w:rFonts w:hint="default" w:ascii="Times New Roman" w:hAnsi="Times New Roman" w:cs="Times New Roman"/>
          <w:sz w:val="48"/>
          <w:szCs w:val="48"/>
        </w:rPr>
      </w:pPr>
    </w:p>
    <w:p w14:paraId="56A01959">
      <w:pPr>
        <w:spacing w:before="312" w:beforeLines="100" w:after="312" w:afterLines="100" w:line="360" w:lineRule="auto"/>
        <w:jc w:val="center"/>
        <w:rPr>
          <w:rFonts w:hint="default" w:ascii="Times New Roman" w:hAnsi="Times New Roman" w:cs="Times New Roman"/>
          <w:sz w:val="48"/>
          <w:szCs w:val="48"/>
        </w:rPr>
      </w:pPr>
    </w:p>
    <w:p w14:paraId="56B182BB">
      <w:pPr>
        <w:pStyle w:val="4"/>
        <w:spacing w:line="360" w:lineRule="auto"/>
        <w:jc w:val="center"/>
        <w:rPr>
          <w:rFonts w:hint="default" w:ascii="Times New Roman" w:hAnsi="Times New Roman" w:cs="Times New Roman"/>
          <w:sz w:val="28"/>
          <w:szCs w:val="28"/>
        </w:rPr>
      </w:pPr>
      <w:r>
        <w:rPr>
          <w:rFonts w:hint="default" w:ascii="Times New Roman" w:hAnsi="Times New Roman" w:cs="Times New Roman"/>
          <w:sz w:val="28"/>
          <w:szCs w:val="28"/>
        </w:rPr>
        <w:t>《计量器具元数据及交换规范》编制组</w:t>
      </w:r>
    </w:p>
    <w:p w14:paraId="78199A6F">
      <w:pPr>
        <w:spacing w:before="312" w:beforeLines="100" w:after="312" w:afterLines="100" w:line="360" w:lineRule="auto"/>
        <w:jc w:val="center"/>
        <w:rPr>
          <w:rFonts w:hint="default" w:ascii="Times New Roman" w:hAnsi="Times New Roman" w:cs="Times New Roman"/>
          <w:sz w:val="48"/>
          <w:szCs w:val="48"/>
        </w:rPr>
      </w:pPr>
      <w:r>
        <w:rPr>
          <w:rFonts w:hint="default" w:ascii="Times New Roman" w:hAnsi="Times New Roman" w:cs="Times New Roman"/>
          <w:sz w:val="28"/>
          <w:szCs w:val="28"/>
        </w:rPr>
        <w:t>202</w:t>
      </w:r>
      <w:r>
        <w:rPr>
          <w:rFonts w:hint="default" w:ascii="Times New Roman" w:hAnsi="Times New Roman" w:cs="Times New Roman"/>
          <w:sz w:val="28"/>
          <w:szCs w:val="28"/>
          <w:lang w:val="en-US" w:eastAsia="zh-CN"/>
        </w:rPr>
        <w:t>4</w:t>
      </w:r>
      <w:r>
        <w:rPr>
          <w:rFonts w:hint="default" w:ascii="Times New Roman" w:hAnsi="Times New Roman" w:cs="Times New Roman"/>
          <w:sz w:val="28"/>
          <w:szCs w:val="28"/>
        </w:rPr>
        <w:t>年</w:t>
      </w:r>
      <w:r>
        <w:rPr>
          <w:rFonts w:hint="default" w:ascii="Times New Roman" w:hAnsi="Times New Roman" w:cs="Times New Roman"/>
          <w:sz w:val="28"/>
          <w:szCs w:val="28"/>
          <w:lang w:val="en-US"/>
        </w:rPr>
        <w:t>12</w:t>
      </w:r>
      <w:r>
        <w:rPr>
          <w:rFonts w:hint="default" w:ascii="Times New Roman" w:hAnsi="Times New Roman" w:cs="Times New Roman"/>
          <w:sz w:val="28"/>
          <w:szCs w:val="28"/>
        </w:rPr>
        <w:t>月</w:t>
      </w:r>
    </w:p>
    <w:p w14:paraId="4A449D6B">
      <w:pPr>
        <w:rPr>
          <w:rFonts w:ascii="Segoe UI" w:hAnsi="Segoe UI" w:eastAsia="宋体" w:cs="Segoe UI"/>
          <w:b/>
          <w:bCs/>
          <w:color w:val="05073B"/>
          <w:kern w:val="0"/>
          <w:sz w:val="18"/>
        </w:rPr>
      </w:pPr>
    </w:p>
    <w:p w14:paraId="01A32C33">
      <w:pPr>
        <w:widowControl/>
        <w:jc w:val="left"/>
        <w:rPr>
          <w:rFonts w:ascii="Segoe UI" w:hAnsi="Segoe UI" w:eastAsia="宋体" w:cs="Segoe UI"/>
          <w:b/>
          <w:bCs/>
          <w:color w:val="05073B"/>
          <w:kern w:val="0"/>
          <w:sz w:val="18"/>
        </w:rPr>
      </w:pPr>
    </w:p>
    <w:p w14:paraId="7E4EA9F9">
      <w:pPr>
        <w:widowControl/>
        <w:jc w:val="left"/>
        <w:rPr>
          <w:rFonts w:ascii="Segoe UI" w:hAnsi="Segoe UI" w:eastAsia="宋体" w:cs="Segoe UI"/>
          <w:color w:val="05073B"/>
          <w:kern w:val="0"/>
          <w:sz w:val="32"/>
          <w:szCs w:val="32"/>
        </w:rPr>
      </w:pPr>
      <w:r>
        <w:rPr>
          <w:rFonts w:ascii="Segoe UI" w:hAnsi="Segoe UI" w:eastAsia="宋体" w:cs="Segoe UI"/>
          <w:b/>
          <w:bCs/>
          <w:color w:val="05073B"/>
          <w:kern w:val="0"/>
          <w:sz w:val="32"/>
          <w:szCs w:val="32"/>
        </w:rPr>
        <w:t>《计量器具元数据及交换规范》编制说明</w:t>
      </w:r>
    </w:p>
    <w:p w14:paraId="5512E69B">
      <w:pPr>
        <w:widowControl/>
        <w:jc w:val="left"/>
        <w:rPr>
          <w:rFonts w:ascii="Segoe UI" w:hAnsi="Segoe UI" w:eastAsia="宋体" w:cs="Segoe UI"/>
          <w:color w:val="05073B"/>
          <w:kern w:val="0"/>
          <w:sz w:val="28"/>
          <w:szCs w:val="28"/>
        </w:rPr>
      </w:pPr>
      <w:r>
        <w:rPr>
          <w:rFonts w:ascii="Segoe UI" w:hAnsi="Segoe UI" w:eastAsia="宋体" w:cs="Segoe UI"/>
          <w:b/>
          <w:bCs/>
          <w:color w:val="05073B"/>
          <w:kern w:val="0"/>
          <w:sz w:val="28"/>
          <w:szCs w:val="28"/>
        </w:rPr>
        <w:t>一、任务来源及计划要求</w:t>
      </w:r>
    </w:p>
    <w:p w14:paraId="7F3B7AB7">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国家市场监督管理总局办公厅发布的《2024年国家计量技术规范制定、修订及宣贯计划》（市监计量发〔2024〕40号），《计量器具元数据及交换规范》被正式列为国家计量技术规范的制定项目之一。该项目的提出旨在解决当前计量技术机构在信息化管理中面临的计量器具元数据标准不统一、信息交换困难等问题，通过制定统一的元数据标准和交换规范，提升计量器具信息化管理的效率和准确性，促进计量数据的合理配置和有效利用。</w:t>
      </w:r>
    </w:p>
    <w:p w14:paraId="55C79197">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由国家市场监督管理总局提出并归口管理，全国数字计量技术委员会负责具体的技术指导和解释工作。主要起草单位为湖南省计量检测研究院，该单位在计量器具检测和管理方面具有丰富的经验和专业优势。同时，为了确保规范的全面性和实用性，还邀请了湖南东之信息技术开发有限公司、湖南师范大学及湖南省军民融合公共服务有限公司等单位作为参加起草单位，共同参与规范的编制工作。</w:t>
      </w:r>
    </w:p>
    <w:p w14:paraId="5BA09A43">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计划要求方面，本项目需严格按照《国家计量技术规范管理办法》及《全国专业计量技术委员会章程》的相关规定执行，确保规范的科学性、严谨性和公开公正性。项目制定、修订工作应于2026年5月31日前完成材料报送报批，以确保规范能够及时发布并实施。</w:t>
      </w:r>
    </w:p>
    <w:p w14:paraId="7E72FB08">
      <w:pPr>
        <w:widowControl/>
        <w:jc w:val="left"/>
        <w:rPr>
          <w:rFonts w:ascii="Segoe UI" w:hAnsi="Segoe UI" w:eastAsia="宋体" w:cs="Segoe UI"/>
          <w:color w:val="05073B"/>
          <w:kern w:val="0"/>
          <w:sz w:val="28"/>
          <w:szCs w:val="28"/>
        </w:rPr>
      </w:pPr>
      <w:r>
        <w:rPr>
          <w:rFonts w:ascii="Segoe UI" w:hAnsi="Segoe UI" w:eastAsia="宋体" w:cs="Segoe UI"/>
          <w:color w:val="05073B"/>
          <w:kern w:val="0"/>
          <w:sz w:val="28"/>
          <w:szCs w:val="28"/>
        </w:rPr>
        <w:t>二、项目意义</w:t>
      </w:r>
    </w:p>
    <w:p w14:paraId="6409EB2C">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计量器具作为科学和工程领域的基础工具，其准确性和可靠性直接关系到产品质量、安全生产、环境保护等多个方面。随着我国经济社会的快速发展，计量器具的应用范围越来越广泛，数量也在不断增加。然而，由于各地计量技术机构在信息化管理中采用的元数据标准各不相同，导致计量器具信息的统一描述、交换和共享存在困难，给计量器具的合理使用和监管带来了挑战。</w:t>
      </w:r>
    </w:p>
    <w:p w14:paraId="4EDDC69E">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本项目的实施具有以下几方面的重要意义：</w:t>
      </w:r>
    </w:p>
    <w:p w14:paraId="6B233EF4">
      <w:pPr>
        <w:spacing w:line="360" w:lineRule="auto"/>
        <w:ind w:firstLine="480" w:firstLineChars="200"/>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b/>
          <w:bCs/>
          <w:sz w:val="24"/>
          <w:szCs w:val="24"/>
        </w:rPr>
        <w:t>提升计量器具信息化管理水平</w:t>
      </w:r>
      <w:r>
        <w:rPr>
          <w:rFonts w:hint="default" w:ascii="Times New Roman" w:hAnsi="Times New Roman" w:eastAsia="宋体" w:cs="Times New Roman"/>
          <w:sz w:val="24"/>
          <w:szCs w:val="24"/>
        </w:rPr>
        <w:t>：通过制定统一的元数据标准和交换规范，可以实现计量器具信息的标准化和统一化，提高计量器具信息化管理的效率和准确性。这有助于计量技术机构更好地掌握计量器具的分布情况、使用状态等信息，为科学决策和合理调配资源提供依据。</w:t>
      </w:r>
    </w:p>
    <w:p w14:paraId="55387A14">
      <w:pPr>
        <w:spacing w:line="360" w:lineRule="auto"/>
        <w:ind w:firstLine="470" w:firstLineChars="196"/>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b/>
          <w:bCs/>
          <w:sz w:val="24"/>
          <w:szCs w:val="24"/>
        </w:rPr>
        <w:t>促进计量数据的交换和共享</w:t>
      </w:r>
      <w:r>
        <w:rPr>
          <w:rFonts w:hint="default" w:ascii="Times New Roman" w:hAnsi="Times New Roman" w:eastAsia="宋体" w:cs="Times New Roman"/>
          <w:sz w:val="24"/>
          <w:szCs w:val="24"/>
        </w:rPr>
        <w:t>：规范的元数据标准和交换规范能够确保计量器具信息在不同机构、不同系统间的一致性和可互操作性，促进计量数据的交换和共享。这有助于打破信息孤岛，实现计量数据的互联互通，为跨部门、跨地区的协同监管提供有力支持。</w:t>
      </w:r>
    </w:p>
    <w:p w14:paraId="5B33588A">
      <w:pPr>
        <w:spacing w:line="360" w:lineRule="auto"/>
        <w:ind w:firstLine="470" w:firstLineChars="196"/>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b/>
          <w:bCs/>
          <w:sz w:val="24"/>
          <w:szCs w:val="24"/>
        </w:rPr>
        <w:t>推动计量技术的标准化和智能化发展</w:t>
      </w:r>
      <w:r>
        <w:rPr>
          <w:rFonts w:hint="default" w:ascii="Times New Roman" w:hAnsi="Times New Roman" w:eastAsia="宋体" w:cs="Times New Roman"/>
          <w:sz w:val="24"/>
          <w:szCs w:val="24"/>
        </w:rPr>
        <w:t>：本项目的实施将有助于推动计量技术的标准化和智能化发展。通过规范计量器具的元数据描述和交换方式，可以为计量技术的研发和应用提供统一的标准和框架，促进计量技术的创新和发展。同时，结合大数据、云计算等现代信息技术，还可以实现计量器具的智能化管理和服务，提升计量技术的整体水平。</w:t>
      </w:r>
    </w:p>
    <w:p w14:paraId="6014B520">
      <w:pPr>
        <w:spacing w:line="360" w:lineRule="auto"/>
        <w:ind w:firstLine="470" w:firstLineChars="196"/>
        <w:rPr>
          <w:rFonts w:ascii="PingFang-SC-Regular" w:hAnsi="PingFang-SC-Regular" w:eastAsia="宋体" w:cs="Segoe UI"/>
          <w:color w:val="05073B"/>
          <w:kern w:val="0"/>
          <w:sz w:val="18"/>
          <w:szCs w:val="18"/>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b/>
          <w:bCs/>
          <w:sz w:val="24"/>
          <w:szCs w:val="24"/>
        </w:rPr>
        <w:t>保障计量器具的准确性和可靠性</w:t>
      </w:r>
      <w:r>
        <w:rPr>
          <w:rFonts w:hint="default" w:ascii="Times New Roman" w:hAnsi="Times New Roman" w:eastAsia="宋体" w:cs="Times New Roman"/>
          <w:sz w:val="24"/>
          <w:szCs w:val="24"/>
        </w:rPr>
        <w:t>：通过统一的元数据标准和交换规范，可以加强对计量器具的监管和管理，确保计量器具的准确性和可靠性。这有助于维护市场秩序和公平竞争环境，保护消费者和企业的合法权益。</w:t>
      </w:r>
    </w:p>
    <w:p w14:paraId="78061B8A">
      <w:pPr>
        <w:widowControl/>
        <w:jc w:val="left"/>
        <w:rPr>
          <w:rFonts w:ascii="Segoe UI" w:hAnsi="Segoe UI" w:eastAsia="宋体" w:cs="Segoe UI"/>
          <w:color w:val="05073B"/>
          <w:kern w:val="0"/>
          <w:sz w:val="28"/>
          <w:szCs w:val="28"/>
        </w:rPr>
      </w:pPr>
      <w:r>
        <w:rPr>
          <w:rFonts w:ascii="Segoe UI" w:hAnsi="Segoe UI" w:eastAsia="宋体" w:cs="Segoe UI"/>
          <w:color w:val="05073B"/>
          <w:kern w:val="0"/>
          <w:sz w:val="28"/>
          <w:szCs w:val="28"/>
        </w:rPr>
        <w:t>三、编制依据</w:t>
      </w:r>
    </w:p>
    <w:p w14:paraId="54A27701">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本规范的编制主要依据以下文件和相关标准：</w:t>
      </w:r>
    </w:p>
    <w:p w14:paraId="57509A93">
      <w:pPr>
        <w:spacing w:line="360" w:lineRule="auto"/>
        <w:ind w:firstLine="472" w:firstLineChars="196"/>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rPr>
        <w:t>相关法律法规和政策文件：</w:t>
      </w:r>
    </w:p>
    <w:p w14:paraId="077762D6">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《中华人民共和国计量法》</w:t>
      </w:r>
    </w:p>
    <w:p w14:paraId="6CA6CB76">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《国家计量技术规范管理办法》</w:t>
      </w:r>
    </w:p>
    <w:p w14:paraId="3A0A3C15">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《全国专业计量技术委员会章程》</w:t>
      </w:r>
    </w:p>
    <w:p w14:paraId="6AF9E659">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市场监管总局办公厅关于印发《2024年国家计量技术规范制定、修订及宣贯计划》的通知（市监计量发〔2024〕40号）</w:t>
      </w:r>
    </w:p>
    <w:p w14:paraId="21590D72">
      <w:pPr>
        <w:spacing w:line="360" w:lineRule="auto"/>
        <w:ind w:firstLine="472" w:firstLineChars="196"/>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2.</w:t>
      </w:r>
      <w:r>
        <w:rPr>
          <w:rFonts w:hint="default" w:ascii="Times New Roman" w:hAnsi="Times New Roman" w:eastAsia="宋体" w:cs="Times New Roman"/>
          <w:b/>
          <w:bCs/>
          <w:sz w:val="24"/>
          <w:szCs w:val="24"/>
        </w:rPr>
        <w:t>相关国家标准和行业标准：</w:t>
      </w:r>
    </w:p>
    <w:p w14:paraId="571D956B">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JJF 1001-2011 《通用计量术语及定义》</w:t>
      </w:r>
    </w:p>
    <w:p w14:paraId="4DB4FF70">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JJF 1069-2012 《法定计量检定机构考核规范》</w:t>
      </w:r>
    </w:p>
    <w:p w14:paraId="16B43A26">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GB/T 5271.1—2000 《信息技术 词汇 第1部分:基本术语》</w:t>
      </w:r>
    </w:p>
    <w:p w14:paraId="0DFB27E5">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GB11643 《公民身份号码》</w:t>
      </w:r>
    </w:p>
    <w:p w14:paraId="2A8410EB">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GB/T 18391.2—2009 《信息技术 元数据注册系统(MDR) 第2部分：分类》</w:t>
      </w:r>
    </w:p>
    <w:p w14:paraId="02FEA769">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 32100 《法人和其他组织统一社会信用代码编码规则》</w:t>
      </w:r>
    </w:p>
    <w:p w14:paraId="536FB862">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GB/T 26816-2011 《信息资源核心元数据》</w:t>
      </w:r>
    </w:p>
    <w:p w14:paraId="235FD22B">
      <w:pPr>
        <w:spacing w:line="360" w:lineRule="auto"/>
        <w:ind w:firstLine="472" w:firstLineChars="196"/>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3.</w:t>
      </w:r>
      <w:r>
        <w:rPr>
          <w:rFonts w:hint="default" w:ascii="Times New Roman" w:hAnsi="Times New Roman" w:eastAsia="宋体" w:cs="Times New Roman"/>
          <w:b/>
          <w:bCs/>
          <w:sz w:val="24"/>
          <w:szCs w:val="24"/>
        </w:rPr>
        <w:t>国际标准和国外先进标准：</w:t>
      </w:r>
    </w:p>
    <w:p w14:paraId="22337FA8">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ISO/IEC 11179 元数据标准</w:t>
      </w:r>
    </w:p>
    <w:p w14:paraId="0F31741A">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NIST（美国国家标准技术研究院）相关计量技术规范</w:t>
      </w:r>
    </w:p>
    <w:p w14:paraId="3CACDF64">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WELMEC（欧洲计量器具指令委员会）相关标准</w:t>
      </w:r>
    </w:p>
    <w:p w14:paraId="0F459088">
      <w:pPr>
        <w:spacing w:line="360" w:lineRule="auto"/>
        <w:ind w:firstLine="472" w:firstLineChars="196"/>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相关元数据标准和实践经验：</w:t>
      </w:r>
    </w:p>
    <w:p w14:paraId="26506A3F">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国内外相关元数据标准和实践经验，如都柏林核心元数据集、地理信息元数据标准等。</w:t>
      </w:r>
    </w:p>
    <w:p w14:paraId="52F57ED5">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我国在农业、环境、海洋等领域制定的元数据标准和规范，如《农业大数据核心元数据》、《环境信息元数据规范》、《海洋资源数据治理元数据》等。</w:t>
      </w:r>
    </w:p>
    <w:p w14:paraId="535F9312">
      <w:pPr>
        <w:spacing w:line="360" w:lineRule="auto"/>
        <w:ind w:firstLine="472" w:firstLineChars="196"/>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5.</w:t>
      </w:r>
      <w:r>
        <w:rPr>
          <w:rFonts w:hint="default" w:ascii="Times New Roman" w:hAnsi="Times New Roman" w:eastAsia="宋体" w:cs="Times New Roman"/>
          <w:b/>
          <w:bCs/>
          <w:sz w:val="24"/>
          <w:szCs w:val="24"/>
        </w:rPr>
        <w:t>计量器具的实际应用和管理需求：</w:t>
      </w:r>
    </w:p>
    <w:p w14:paraId="78993383">
      <w:pPr>
        <w:numPr>
          <w:numId w:val="0"/>
        </w:numPr>
        <w:spacing w:line="360" w:lineRule="auto"/>
        <w:ind w:left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结合我国计量器具的实际应用和管理需求，充分考虑不同地区、不同行业的特点和差异，确保规范的实用性和可操作性。</w:t>
      </w:r>
    </w:p>
    <w:p w14:paraId="2A8D58E9">
      <w:pPr>
        <w:widowControl/>
        <w:jc w:val="left"/>
        <w:rPr>
          <w:rFonts w:ascii="Segoe UI" w:hAnsi="Segoe UI" w:eastAsia="宋体" w:cs="Segoe UI"/>
          <w:color w:val="05073B"/>
          <w:kern w:val="0"/>
          <w:sz w:val="28"/>
          <w:szCs w:val="28"/>
        </w:rPr>
      </w:pPr>
      <w:r>
        <w:rPr>
          <w:rFonts w:ascii="Segoe UI" w:hAnsi="Segoe UI" w:eastAsia="宋体" w:cs="Segoe UI"/>
          <w:color w:val="05073B"/>
          <w:kern w:val="0"/>
          <w:sz w:val="28"/>
          <w:szCs w:val="28"/>
        </w:rPr>
        <w:t>四、编制过程</w:t>
      </w:r>
    </w:p>
    <w:p w14:paraId="531672E4">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本规范的编制过程经历了以下几个阶段：</w:t>
      </w:r>
    </w:p>
    <w:p w14:paraId="1F6DDB3E">
      <w:pPr>
        <w:spacing w:line="360" w:lineRule="auto"/>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1.</w:t>
      </w:r>
      <w:r>
        <w:rPr>
          <w:rFonts w:hint="default" w:ascii="Times New Roman" w:hAnsi="Times New Roman" w:eastAsia="宋体" w:cs="Times New Roman"/>
          <w:b/>
          <w:bCs/>
          <w:sz w:val="24"/>
          <w:szCs w:val="24"/>
        </w:rPr>
        <w:t>预研阶段（202</w:t>
      </w:r>
      <w:r>
        <w:rPr>
          <w:rFonts w:hint="default" w:ascii="Times New Roman" w:hAnsi="Times New Roman" w:eastAsia="宋体" w:cs="Times New Roman"/>
          <w:b/>
          <w:bCs/>
          <w:sz w:val="24"/>
          <w:szCs w:val="24"/>
          <w:lang w:val="en-US"/>
        </w:rPr>
        <w:t>4</w:t>
      </w:r>
      <w:r>
        <w:rPr>
          <w:rFonts w:hint="default" w:ascii="Times New Roman" w:hAnsi="Times New Roman" w:eastAsia="宋体" w:cs="Times New Roman"/>
          <w:b/>
          <w:bCs/>
          <w:sz w:val="24"/>
          <w:szCs w:val="24"/>
        </w:rPr>
        <w:t>年初至202</w:t>
      </w:r>
      <w:r>
        <w:rPr>
          <w:rFonts w:hint="default" w:ascii="Times New Roman" w:hAnsi="Times New Roman" w:eastAsia="宋体" w:cs="Times New Roman"/>
          <w:b/>
          <w:bCs/>
          <w:sz w:val="24"/>
          <w:szCs w:val="24"/>
          <w:lang w:val="en-US"/>
        </w:rPr>
        <w:t>4</w:t>
      </w:r>
      <w:r>
        <w:rPr>
          <w:rFonts w:hint="default" w:ascii="Times New Roman" w:hAnsi="Times New Roman" w:eastAsia="宋体" w:cs="Times New Roman"/>
          <w:b/>
          <w:bCs/>
          <w:sz w:val="24"/>
          <w:szCs w:val="24"/>
        </w:rPr>
        <w:t>年3月）</w:t>
      </w:r>
    </w:p>
    <w:p w14:paraId="3AC87203">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在预研阶段，编制工作组主要进行了以下工作：</w:t>
      </w:r>
    </w:p>
    <w:p w14:paraId="525B1C89">
      <w:pPr>
        <w:numPr>
          <w:ilvl w:val="0"/>
          <w:numId w:val="1"/>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成立编制工作组，明确各成员单位的职责和任务分工。</w:t>
      </w:r>
    </w:p>
    <w:p w14:paraId="6752C4CD">
      <w:pPr>
        <w:numPr>
          <w:ilvl w:val="0"/>
          <w:numId w:val="1"/>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收集国内外相关元数据标准和计量器具信息化管理的实践经验，进行初步调研和分析。</w:t>
      </w:r>
    </w:p>
    <w:p w14:paraId="5B00052C">
      <w:pPr>
        <w:numPr>
          <w:ilvl w:val="0"/>
          <w:numId w:val="1"/>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组织召开专家研讨会，就规范的编制思路、框架结构和主要内容等进行讨论和交流。</w:t>
      </w:r>
    </w:p>
    <w:p w14:paraId="06384849">
      <w:pPr>
        <w:spacing w:line="360" w:lineRule="auto"/>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2.</w:t>
      </w:r>
      <w:r>
        <w:rPr>
          <w:rFonts w:hint="default" w:ascii="Times New Roman" w:hAnsi="Times New Roman" w:eastAsia="宋体" w:cs="Times New Roman"/>
          <w:b/>
          <w:bCs/>
          <w:sz w:val="24"/>
          <w:szCs w:val="24"/>
        </w:rPr>
        <w:t>草案编制阶段（202</w:t>
      </w:r>
      <w:r>
        <w:rPr>
          <w:rFonts w:hint="default" w:ascii="Times New Roman" w:hAnsi="Times New Roman" w:eastAsia="宋体" w:cs="Times New Roman"/>
          <w:b/>
          <w:bCs/>
          <w:sz w:val="24"/>
          <w:szCs w:val="24"/>
          <w:lang w:val="en-US"/>
        </w:rPr>
        <w:t>4</w:t>
      </w:r>
      <w:r>
        <w:rPr>
          <w:rFonts w:hint="default" w:ascii="Times New Roman" w:hAnsi="Times New Roman" w:eastAsia="宋体" w:cs="Times New Roman"/>
          <w:b/>
          <w:bCs/>
          <w:sz w:val="24"/>
          <w:szCs w:val="24"/>
        </w:rPr>
        <w:t>年4月至202</w:t>
      </w:r>
      <w:r>
        <w:rPr>
          <w:rFonts w:hint="default" w:ascii="Times New Roman" w:hAnsi="Times New Roman" w:eastAsia="宋体" w:cs="Times New Roman"/>
          <w:b/>
          <w:bCs/>
          <w:sz w:val="24"/>
          <w:szCs w:val="24"/>
          <w:lang w:val="en-US"/>
        </w:rPr>
        <w:t>4</w:t>
      </w:r>
      <w:r>
        <w:rPr>
          <w:rFonts w:hint="default" w:ascii="Times New Roman" w:hAnsi="Times New Roman" w:eastAsia="宋体" w:cs="Times New Roman"/>
          <w:b/>
          <w:bCs/>
          <w:sz w:val="24"/>
          <w:szCs w:val="24"/>
        </w:rPr>
        <w:t>年9月）</w:t>
      </w:r>
    </w:p>
    <w:p w14:paraId="3E884F44">
      <w:pPr>
        <w:numPr>
          <w:ilvl w:val="0"/>
          <w:numId w:val="2"/>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在草案编制阶段，编制工作组主要进行了以下工作：</w:t>
      </w:r>
    </w:p>
    <w:p w14:paraId="1FC41733">
      <w:pPr>
        <w:numPr>
          <w:ilvl w:val="0"/>
          <w:numId w:val="2"/>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在充分调研和分析的基础上，起草了本规范的初稿。初稿明确了计量器具核心元数据的构成和属性，以及元数据交换的规范等内容。</w:t>
      </w:r>
    </w:p>
    <w:p w14:paraId="2CAD6BBF">
      <w:pPr>
        <w:numPr>
          <w:ilvl w:val="0"/>
          <w:numId w:val="2"/>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组织召开多次内部讨论会，对初稿进行反复修改和完善，确保规范的准确性和可操作性。</w:t>
      </w:r>
    </w:p>
    <w:p w14:paraId="18B039A7">
      <w:pPr>
        <w:numPr>
          <w:ilvl w:val="0"/>
          <w:numId w:val="2"/>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邀请相关领域的专家对初稿进行初步评审，提出修改意见和建议。</w:t>
      </w:r>
    </w:p>
    <w:p w14:paraId="395B1BBD">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3.内部意见征求阶段（2024年10月至2024年11月）</w:t>
      </w:r>
    </w:p>
    <w:p w14:paraId="0B5BD09E">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在意见征求阶段，编制工作组主要进行了以下工作：</w:t>
      </w:r>
    </w:p>
    <w:p w14:paraId="58D10C45">
      <w:pPr>
        <w:numPr>
          <w:ilvl w:val="0"/>
          <w:numId w:val="3"/>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将初稿向全国数字计量技术委员会及相关单位广泛征求意见。征求意见的范围涵盖了计量技术机构、专家学者、行业代表等多个方面。</w:t>
      </w:r>
    </w:p>
    <w:p w14:paraId="05E8AE5B">
      <w:pPr>
        <w:numPr>
          <w:ilvl w:val="0"/>
          <w:numId w:val="3"/>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对收集到的意见和建议进行汇总和分析，逐条研究并提出处理意见。对于合理的意见和建议，及时吸纳到规范中；对于存在分歧的意见和建议，组织专家进行进一步讨论和协商。</w:t>
      </w:r>
    </w:p>
    <w:p w14:paraId="732D880A">
      <w:pPr>
        <w:numPr>
          <w:ilvl w:val="0"/>
          <w:numId w:val="3"/>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根据反馈意见对规范进行再次修改和完善，形成征求意见稿。</w:t>
      </w:r>
    </w:p>
    <w:p w14:paraId="47445D5A">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4.专家评审阶段（2024年11月至2024年12月）</w:t>
      </w:r>
    </w:p>
    <w:p w14:paraId="61F1C57F">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在专家评审阶段，编制工作组主要进行了以下工作：</w:t>
      </w:r>
    </w:p>
    <w:p w14:paraId="3E465340">
      <w:pPr>
        <w:numPr>
          <w:ilvl w:val="0"/>
          <w:numId w:val="4"/>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邀请相关领域的专家对征求意见稿进行评审。评审专家涵盖了计量学、信息技术、标准化等多个领域的权威学者和专家。</w:t>
      </w:r>
    </w:p>
    <w:p w14:paraId="0E3DB37B">
      <w:pPr>
        <w:numPr>
          <w:ilvl w:val="0"/>
          <w:numId w:val="4"/>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组织召开专家评审会，对征求意见稿进行逐条讨论和评审。评审过程中，专家们充分发表了各自的观点和建议，对规范的内容进行了深入剖析和讨论。</w:t>
      </w:r>
    </w:p>
    <w:p w14:paraId="13012D4F">
      <w:pPr>
        <w:numPr>
          <w:ilvl w:val="0"/>
          <w:numId w:val="4"/>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根据专家评审意见对规范进行再次修改和完善，形成</w:t>
      </w:r>
      <w:r>
        <w:rPr>
          <w:rFonts w:hint="eastAsia" w:ascii="Times New Roman" w:hAnsi="Times New Roman" w:eastAsia="宋体" w:cs="Times New Roman"/>
          <w:sz w:val="24"/>
          <w:szCs w:val="24"/>
          <w:lang w:val="en-US" w:eastAsia="zh-CN"/>
        </w:rPr>
        <w:t>公开征求意见稿</w:t>
      </w:r>
      <w:r>
        <w:rPr>
          <w:rFonts w:hint="default" w:ascii="Times New Roman" w:hAnsi="Times New Roman" w:eastAsia="宋体" w:cs="Times New Roman"/>
          <w:sz w:val="24"/>
          <w:szCs w:val="24"/>
        </w:rPr>
        <w:t>。</w:t>
      </w:r>
    </w:p>
    <w:p w14:paraId="641520E3">
      <w:pPr>
        <w:widowControl/>
        <w:jc w:val="left"/>
        <w:rPr>
          <w:rFonts w:ascii="Segoe UI" w:hAnsi="Segoe UI" w:eastAsia="宋体" w:cs="Segoe UI"/>
          <w:color w:val="05073B"/>
          <w:kern w:val="0"/>
          <w:sz w:val="28"/>
          <w:szCs w:val="28"/>
        </w:rPr>
      </w:pPr>
      <w:r>
        <w:rPr>
          <w:rFonts w:ascii="Segoe UI" w:hAnsi="Segoe UI" w:eastAsia="宋体" w:cs="Segoe UI"/>
          <w:color w:val="05073B"/>
          <w:kern w:val="0"/>
          <w:sz w:val="28"/>
          <w:szCs w:val="28"/>
        </w:rPr>
        <w:t>五、主要技术内容的说明</w:t>
      </w:r>
    </w:p>
    <w:p w14:paraId="09A73BAD">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本规范主要规定了以下内容：</w:t>
      </w:r>
    </w:p>
    <w:p w14:paraId="2671D83A">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1.范围</w:t>
      </w:r>
    </w:p>
    <w:p w14:paraId="6E63BF7A">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本规范明确了其适用范围，即适用于计量业务管理系统中对计量器具相关信息处理。这包括计量器具的检定、校准、检测等业务环节，以及计量器具的信息化管理过程。</w:t>
      </w:r>
    </w:p>
    <w:p w14:paraId="1EA0DCE9">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2.规范性引用文件</w:t>
      </w:r>
    </w:p>
    <w:p w14:paraId="17036E92">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本规范列出了在编制过程中引用的相关标准和文件，包括国内外相关元数据标准、计量法规和标准等。这些引用文件为规范的编制提供了重要的参考和依据。</w:t>
      </w:r>
    </w:p>
    <w:p w14:paraId="5AAFBB53">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3.术语和定义</w:t>
      </w:r>
    </w:p>
    <w:p w14:paraId="65CE1A30">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本规范对计量器具、计量检定、计量校准等关键术语进行了定义，确保了对这些术语的准确理解和使用。同时，还定义了元数据、元数据元素、元数据实体等相关术语，为规范的后续内容提供了基础。</w:t>
      </w:r>
    </w:p>
    <w:p w14:paraId="6722F896">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4.元数据属性</w:t>
      </w:r>
    </w:p>
    <w:p w14:paraId="527956DF">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本规范规定了元数据元素和元数据实体的属性，包括中文名称、标识、定义、数据类型、值域、约束条件、最大出现次数等。这些属性是描述元数据特征和规范元数据使用的重要基础。</w:t>
      </w:r>
    </w:p>
    <w:p w14:paraId="0992DA70">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5.计量器具元数据描述</w:t>
      </w:r>
    </w:p>
    <w:p w14:paraId="045B730A">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详细描述了计量器具信息的元数据构成，包括计量器具名称、型号规格、生产厂家、测量范围、准确度等级等核心元数据。这些元数据是描述计量器具基本特征和使用要求的关键信息，对于实现计量器具的统一描述和交换具有重要意义。</w:t>
      </w:r>
    </w:p>
    <w:p w14:paraId="750AAA12">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具体来说，计量器具元数据描述涵盖了以下几个方面：</w:t>
      </w:r>
    </w:p>
    <w:p w14:paraId="442FA123">
      <w:pPr>
        <w:numPr>
          <w:ilvl w:val="0"/>
          <w:numId w:val="5"/>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计量器具基本信息：</w:t>
      </w:r>
      <w:r>
        <w:rPr>
          <w:rFonts w:hint="default" w:ascii="Times New Roman" w:hAnsi="Times New Roman" w:eastAsia="宋体" w:cs="Times New Roman"/>
          <w:sz w:val="24"/>
          <w:szCs w:val="24"/>
        </w:rPr>
        <w:t>包括计量器具名称、型号规格、生产厂家、出厂编号等基本信息，用于唯一标识和描述计量器具。</w:t>
      </w:r>
    </w:p>
    <w:p w14:paraId="620637ED">
      <w:pPr>
        <w:numPr>
          <w:ilvl w:val="0"/>
          <w:numId w:val="5"/>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计量特性：</w:t>
      </w:r>
      <w:r>
        <w:rPr>
          <w:rFonts w:hint="default" w:ascii="Times New Roman" w:hAnsi="Times New Roman" w:eastAsia="宋体" w:cs="Times New Roman"/>
          <w:sz w:val="24"/>
          <w:szCs w:val="24"/>
        </w:rPr>
        <w:t>包括测量范围、准确度等级、分辨率等计量特性信息，用于描述计量器具的测量能力和精度要求。</w:t>
      </w:r>
    </w:p>
    <w:p w14:paraId="18328FAE">
      <w:pPr>
        <w:numPr>
          <w:ilvl w:val="0"/>
          <w:numId w:val="5"/>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使用和管理信息：</w:t>
      </w:r>
      <w:r>
        <w:rPr>
          <w:rFonts w:hint="default" w:ascii="Times New Roman" w:hAnsi="Times New Roman" w:eastAsia="宋体" w:cs="Times New Roman"/>
          <w:sz w:val="24"/>
          <w:szCs w:val="24"/>
        </w:rPr>
        <w:t>包括使用单位名称、地址、联系电话等信息，以及计量器具的取得日期、取得方式、固定资产标识等管理信息。这些信息有助于了解计量器具的使用情况和管理状态。</w:t>
      </w:r>
    </w:p>
    <w:p w14:paraId="71FB345A">
      <w:pPr>
        <w:numPr>
          <w:ilvl w:val="0"/>
          <w:numId w:val="5"/>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检定/校准信息：</w:t>
      </w:r>
      <w:r>
        <w:rPr>
          <w:rFonts w:hint="default" w:ascii="Times New Roman" w:hAnsi="Times New Roman" w:eastAsia="宋体" w:cs="Times New Roman"/>
          <w:sz w:val="24"/>
          <w:szCs w:val="24"/>
        </w:rPr>
        <w:t>包括检定/校准机构名称、地址、授权证书信息以及检定/校准日期、有效期等检定/校准信息。这些信息对于评估计量器具的准确性和可靠性具有重要意义。</w:t>
      </w:r>
    </w:p>
    <w:p w14:paraId="364120E0">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6.元数据交换规范</w:t>
      </w:r>
    </w:p>
    <w:p w14:paraId="052EB79C">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本规范规定了计量器具元数据在不同系统之间的交换方式和要求，确保元数据的一致性和可互操作性。这包括元数据的交换格式、传输协议、数据校验等方面的内容。</w:t>
      </w:r>
    </w:p>
    <w:p w14:paraId="3A5A304D">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具体来说，元数据交换规范涵盖了以下几个方面：</w:t>
      </w:r>
    </w:p>
    <w:p w14:paraId="48E38586">
      <w:pPr>
        <w:numPr>
          <w:ilvl w:val="0"/>
          <w:numId w:val="6"/>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交换格式：</w:t>
      </w:r>
      <w:r>
        <w:rPr>
          <w:rFonts w:hint="default" w:ascii="Times New Roman" w:hAnsi="Times New Roman" w:eastAsia="宋体" w:cs="Times New Roman"/>
          <w:sz w:val="24"/>
          <w:szCs w:val="24"/>
        </w:rPr>
        <w:t>规定了元数据的交换格式，如XML、JSON等，以确保不同系统之间能够正确解析和处理元数据。</w:t>
      </w:r>
    </w:p>
    <w:p w14:paraId="1404C877">
      <w:pPr>
        <w:numPr>
          <w:ilvl w:val="0"/>
          <w:numId w:val="6"/>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传输协议：</w:t>
      </w:r>
      <w:r>
        <w:rPr>
          <w:rFonts w:hint="default" w:ascii="Times New Roman" w:hAnsi="Times New Roman" w:eastAsia="宋体" w:cs="Times New Roman"/>
          <w:sz w:val="24"/>
          <w:szCs w:val="24"/>
        </w:rPr>
        <w:t>规定了元数据的传输协议，如HTTP、FTP等，以确保元数据能够在不同系统之间安全、可靠地传输。</w:t>
      </w:r>
    </w:p>
    <w:p w14:paraId="32981CF9">
      <w:pPr>
        <w:numPr>
          <w:ilvl w:val="0"/>
          <w:numId w:val="6"/>
        </w:numPr>
        <w:spacing w:line="360" w:lineRule="auto"/>
        <w:ind w:left="425" w:leftChars="0" w:hanging="425" w:firstLineChars="0"/>
        <w:rPr>
          <w:rFonts w:ascii="PingFang-SC-Regular" w:hAnsi="PingFang-SC-Regular" w:eastAsia="宋体" w:cs="Segoe UI"/>
          <w:color w:val="05073B"/>
          <w:kern w:val="0"/>
          <w:sz w:val="18"/>
          <w:szCs w:val="18"/>
        </w:rPr>
      </w:pPr>
      <w:r>
        <w:rPr>
          <w:rFonts w:hint="default" w:ascii="Times New Roman" w:hAnsi="Times New Roman" w:eastAsia="宋体" w:cs="Times New Roman"/>
          <w:b/>
          <w:bCs/>
          <w:sz w:val="24"/>
          <w:szCs w:val="24"/>
        </w:rPr>
        <w:t>数据校验：</w:t>
      </w:r>
      <w:r>
        <w:rPr>
          <w:rFonts w:hint="default" w:ascii="Times New Roman" w:hAnsi="Times New Roman" w:eastAsia="宋体" w:cs="Times New Roman"/>
          <w:sz w:val="24"/>
          <w:szCs w:val="24"/>
        </w:rPr>
        <w:t>规定了元数据的数据校验方法，如哈希校验、数字签名等，以确保元数据的完整性和真实性。</w:t>
      </w:r>
    </w:p>
    <w:p w14:paraId="53EB60E8">
      <w:pPr>
        <w:spacing w:line="360" w:lineRule="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7核心元数据扩展原则和方法</w:t>
      </w:r>
    </w:p>
    <w:p w14:paraId="0146F360">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本规范提出了计量器具核心元数据的扩展原则和方法，以适应不同行业和地区的应用需求。这包括增加新的元数据元素、建立新的代码表、对现有元数据施加更严格的约束条件等方面的内容。</w:t>
      </w:r>
    </w:p>
    <w:p w14:paraId="450B9427">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具体来说，核心元数据扩展原则和方法涵盖了以下几个方面：</w:t>
      </w:r>
    </w:p>
    <w:p w14:paraId="34A420B4">
      <w:pPr>
        <w:numPr>
          <w:ilvl w:val="0"/>
          <w:numId w:val="7"/>
        </w:numPr>
        <w:spacing w:line="360" w:lineRule="auto"/>
        <w:ind w:left="425" w:leftChars="0" w:hanging="425"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扩展原则：</w:t>
      </w:r>
      <w:r>
        <w:rPr>
          <w:rFonts w:hint="default" w:ascii="Times New Roman" w:hAnsi="Times New Roman" w:eastAsia="宋体" w:cs="Times New Roman"/>
          <w:sz w:val="24"/>
          <w:szCs w:val="24"/>
        </w:rPr>
        <w:t>明确了在扩展核心元数据时应遵循的原则，如充分考虑实际需求、避免与现有元数据冲突、保持元数据的层次结构和逻辑关系等。</w:t>
      </w:r>
    </w:p>
    <w:p w14:paraId="5B55023C">
      <w:pPr>
        <w:numPr>
          <w:ilvl w:val="0"/>
          <w:numId w:val="7"/>
        </w:numPr>
        <w:spacing w:line="360" w:lineRule="auto"/>
        <w:ind w:left="425" w:leftChars="0" w:hanging="425" w:firstLineChars="0"/>
        <w:rPr>
          <w:rFonts w:ascii="PingFang-SC-Regular" w:hAnsi="PingFang-SC-Regular" w:eastAsia="宋体" w:cs="Segoe UI"/>
          <w:color w:val="05073B"/>
          <w:kern w:val="0"/>
          <w:sz w:val="18"/>
          <w:szCs w:val="18"/>
        </w:rPr>
      </w:pPr>
      <w:r>
        <w:rPr>
          <w:rFonts w:hint="default" w:ascii="Times New Roman" w:hAnsi="Times New Roman" w:eastAsia="宋体" w:cs="Times New Roman"/>
          <w:b/>
          <w:bCs/>
          <w:sz w:val="24"/>
          <w:szCs w:val="24"/>
        </w:rPr>
        <w:t>扩展方法：</w:t>
      </w:r>
      <w:r>
        <w:rPr>
          <w:rFonts w:hint="default" w:ascii="Times New Roman" w:hAnsi="Times New Roman" w:eastAsia="宋体" w:cs="Times New Roman"/>
          <w:sz w:val="24"/>
          <w:szCs w:val="24"/>
        </w:rPr>
        <w:t>提供了具体的扩展方法，如增加新的元数据元素、建立新的代码表、对现有元数据施加更严格的约束条件等。同时，还给出了扩展后的元数据描述和示例，以便于理解和实施。</w:t>
      </w:r>
    </w:p>
    <w:p w14:paraId="5B53E639">
      <w:pPr>
        <w:widowControl/>
        <w:jc w:val="left"/>
        <w:rPr>
          <w:rFonts w:ascii="Segoe UI" w:hAnsi="Segoe UI" w:eastAsia="宋体" w:cs="Segoe UI"/>
          <w:color w:val="05073B"/>
          <w:kern w:val="0"/>
          <w:sz w:val="28"/>
          <w:szCs w:val="28"/>
        </w:rPr>
      </w:pPr>
      <w:r>
        <w:rPr>
          <w:rFonts w:ascii="Segoe UI" w:hAnsi="Segoe UI" w:eastAsia="宋体" w:cs="Segoe UI"/>
          <w:color w:val="05073B"/>
          <w:kern w:val="0"/>
          <w:sz w:val="28"/>
          <w:szCs w:val="28"/>
        </w:rPr>
        <w:t>六、工作小结</w:t>
      </w:r>
    </w:p>
    <w:p w14:paraId="34077FBC">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次《计量器具元数据及交换规范》的编制工作，是在国家市场监督管理总局的指导和支持下，由湖南省计量检测研究院牵头，多家单位共同参与完成的。在编制过程中，我们深入调研了国内外相关元数据标准和计量器具信息化管理的实践经验，广泛征求了专家和行业代表的意见和建议，经过多次修改和完善，最终形成了具有科学性、合理性和可操作性的标准文本。</w:t>
      </w:r>
    </w:p>
    <w:p w14:paraId="72D75A11">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通过本规范的编制，我们不仅对计量器具的元数据标准进行了深入研究，还充分考虑了实际应用中的需求和挑战。本规范的制定将有力推动计量器具信息化管理的标准化和统一化进程，提高计量数据的交换和共享效率。同时，我们也期待本规范能够在实施过程中得到不断完善和优化，以更好地服务于我国计量事业的发展。</w:t>
      </w:r>
    </w:p>
    <w:p w14:paraId="4944446D">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此，我们要特别感谢所有参与本次编制工作的专家、学者和行业代表，他们的辛勤付出和宝贵意见为规范的编制提供了有力支持。同时，我们也要感谢国家市场监督管理总局和全国数字计量技术委员会的指导和支持，使得本次编制工作能够顺利进行并取得圆满成功。</w:t>
      </w:r>
    </w:p>
    <w:p w14:paraId="3979AD4A">
      <w:pPr>
        <w:spacing w:line="360" w:lineRule="auto"/>
        <w:ind w:firstLine="470" w:firstLineChars="19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未来，我们将继续关注计量器具信息化管理的最新动态和发展趋势，不断完善和优化本规范的内容，为推动我国计量事业的持续健康发展贡献更大的力量。</w:t>
      </w:r>
    </w:p>
    <w:p w14:paraId="4D06C8A2">
      <w:pPr>
        <w:spacing w:line="360" w:lineRule="auto"/>
        <w:ind w:firstLine="470" w:firstLineChars="196"/>
        <w:jc w:val="right"/>
        <w:rPr>
          <w:rFonts w:hint="default" w:ascii="Times New Roman" w:hAnsi="Times New Roman" w:cs="Times New Roman"/>
          <w:sz w:val="24"/>
          <w:szCs w:val="24"/>
        </w:rPr>
      </w:pPr>
      <w:r>
        <w:rPr>
          <w:rFonts w:hint="default" w:ascii="Times New Roman" w:hAnsi="Times New Roman" w:cs="Times New Roman"/>
          <w:sz w:val="24"/>
          <w:szCs w:val="24"/>
        </w:rPr>
        <w:t>《计量器具元数据及交换规范》编制组</w:t>
      </w:r>
    </w:p>
    <w:p w14:paraId="3145BCC6">
      <w:pPr>
        <w:spacing w:line="360" w:lineRule="auto"/>
        <w:ind w:firstLine="470" w:firstLineChars="196"/>
        <w:jc w:val="center"/>
        <w:rPr>
          <w:rFonts w:hint="default" w:ascii="Times New Roman" w:hAnsi="Times New Roman" w:eastAsia="宋体"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highlight w:val="none"/>
        </w:rPr>
        <w:t xml:space="preserve">   202</w:t>
      </w:r>
      <w:r>
        <w:rPr>
          <w:rFonts w:hint="default" w:ascii="Times New Roman" w:hAnsi="Times New Roman" w:cs="Times New Roman"/>
          <w:sz w:val="24"/>
          <w:szCs w:val="24"/>
          <w:highlight w:val="none"/>
          <w:lang w:val="en-US" w:eastAsia="zh-CN"/>
        </w:rPr>
        <w:t>4</w:t>
      </w:r>
      <w:r>
        <w:rPr>
          <w:rFonts w:hint="default" w:ascii="Times New Roman" w:hAnsi="Times New Roman" w:cs="Times New Roman"/>
          <w:sz w:val="24"/>
          <w:szCs w:val="24"/>
          <w:highlight w:val="none"/>
        </w:rPr>
        <w:t>年</w:t>
      </w:r>
      <w:r>
        <w:rPr>
          <w:rFonts w:hint="eastAsia" w:ascii="Times New Roman" w:hAnsi="Times New Roman" w:cs="Times New Roman"/>
          <w:sz w:val="24"/>
          <w:szCs w:val="24"/>
          <w:highlight w:val="none"/>
          <w:lang w:val="en-US" w:eastAsia="zh-CN"/>
        </w:rPr>
        <w:t>12</w:t>
      </w:r>
      <w:bookmarkStart w:id="0" w:name="_GoBack"/>
      <w:bookmarkEnd w:id="0"/>
      <w:r>
        <w:rPr>
          <w:rFonts w:hint="default" w:ascii="Times New Roman" w:hAnsi="Times New Roman" w:cs="Times New Roman"/>
          <w:sz w:val="24"/>
          <w:szCs w:val="24"/>
          <w:highlight w:val="none"/>
        </w:rPr>
        <w:t xml:space="preserve">月 </w:t>
      </w:r>
    </w:p>
    <w:p w14:paraId="03D2605D"/>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PingFang-SC-Regular">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09AF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3610A0">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D3610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1030F"/>
    <w:multiLevelType w:val="singleLevel"/>
    <w:tmpl w:val="9511030F"/>
    <w:lvl w:ilvl="0" w:tentative="0">
      <w:start w:val="1"/>
      <w:numFmt w:val="decimal"/>
      <w:lvlText w:val="(%1)"/>
      <w:lvlJc w:val="left"/>
      <w:pPr>
        <w:ind w:left="425" w:hanging="425"/>
      </w:pPr>
      <w:rPr>
        <w:rFonts w:hint="default"/>
      </w:rPr>
    </w:lvl>
  </w:abstractNum>
  <w:abstractNum w:abstractNumId="1">
    <w:nsid w:val="B4394B2A"/>
    <w:multiLevelType w:val="singleLevel"/>
    <w:tmpl w:val="B4394B2A"/>
    <w:lvl w:ilvl="0" w:tentative="0">
      <w:start w:val="1"/>
      <w:numFmt w:val="decimal"/>
      <w:lvlText w:val="(%1)"/>
      <w:lvlJc w:val="left"/>
      <w:pPr>
        <w:ind w:left="425" w:hanging="425"/>
      </w:pPr>
      <w:rPr>
        <w:rFonts w:hint="default"/>
      </w:rPr>
    </w:lvl>
  </w:abstractNum>
  <w:abstractNum w:abstractNumId="2">
    <w:nsid w:val="09DBFB9B"/>
    <w:multiLevelType w:val="singleLevel"/>
    <w:tmpl w:val="09DBFB9B"/>
    <w:lvl w:ilvl="0" w:tentative="0">
      <w:start w:val="1"/>
      <w:numFmt w:val="decimal"/>
      <w:lvlText w:val="(%1)"/>
      <w:lvlJc w:val="left"/>
      <w:pPr>
        <w:ind w:left="425" w:hanging="425"/>
      </w:pPr>
      <w:rPr>
        <w:rFonts w:hint="default"/>
      </w:rPr>
    </w:lvl>
  </w:abstractNum>
  <w:abstractNum w:abstractNumId="3">
    <w:nsid w:val="154612E1"/>
    <w:multiLevelType w:val="singleLevel"/>
    <w:tmpl w:val="154612E1"/>
    <w:lvl w:ilvl="0" w:tentative="0">
      <w:start w:val="1"/>
      <w:numFmt w:val="decimal"/>
      <w:lvlText w:val="(%1)"/>
      <w:lvlJc w:val="left"/>
      <w:pPr>
        <w:ind w:left="425" w:hanging="425"/>
      </w:pPr>
      <w:rPr>
        <w:rFonts w:hint="default"/>
      </w:rPr>
    </w:lvl>
  </w:abstractNum>
  <w:abstractNum w:abstractNumId="4">
    <w:nsid w:val="442C86BB"/>
    <w:multiLevelType w:val="singleLevel"/>
    <w:tmpl w:val="442C86BB"/>
    <w:lvl w:ilvl="0" w:tentative="0">
      <w:start w:val="1"/>
      <w:numFmt w:val="decimal"/>
      <w:lvlText w:val="(%1)"/>
      <w:lvlJc w:val="left"/>
      <w:pPr>
        <w:ind w:left="425" w:hanging="425"/>
      </w:pPr>
      <w:rPr>
        <w:rFonts w:hint="default"/>
      </w:rPr>
    </w:lvl>
  </w:abstractNum>
  <w:abstractNum w:abstractNumId="5">
    <w:nsid w:val="51F5D051"/>
    <w:multiLevelType w:val="singleLevel"/>
    <w:tmpl w:val="51F5D051"/>
    <w:lvl w:ilvl="0" w:tentative="0">
      <w:start w:val="1"/>
      <w:numFmt w:val="decimal"/>
      <w:lvlText w:val="(%1)"/>
      <w:lvlJc w:val="left"/>
      <w:pPr>
        <w:ind w:left="425" w:hanging="425"/>
      </w:pPr>
      <w:rPr>
        <w:rFonts w:hint="default"/>
      </w:rPr>
    </w:lvl>
  </w:abstractNum>
  <w:abstractNum w:abstractNumId="6">
    <w:nsid w:val="543A807F"/>
    <w:multiLevelType w:val="singleLevel"/>
    <w:tmpl w:val="543A807F"/>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3MDBjMzdmNDYxYTU1YTU4M2ZhNDMyNTI1YmQxNDQifQ=="/>
  </w:docVars>
  <w:rsids>
    <w:rsidRoot w:val="00B50999"/>
    <w:rsid w:val="00AC674D"/>
    <w:rsid w:val="00B50999"/>
    <w:rsid w:val="3C99647A"/>
    <w:rsid w:val="5200204B"/>
    <w:rsid w:val="5BA85F98"/>
    <w:rsid w:val="69792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semiHidden/>
    <w:qFormat/>
    <w:uiPriority w:val="0"/>
    <w:pPr>
      <w:tabs>
        <w:tab w:val="right" w:leader="dot" w:pos="9628"/>
      </w:tabs>
      <w:snapToGrid w:val="0"/>
    </w:pPr>
    <w:rPr>
      <w:rFonts w:ascii="宋体" w:hAnsi="宋体"/>
      <w:sz w:val="24"/>
      <w:szCs w:val="21"/>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4409</Words>
  <Characters>4587</Characters>
  <Lines>32</Lines>
  <Paragraphs>9</Paragraphs>
  <TotalTime>4</TotalTime>
  <ScaleCrop>false</ScaleCrop>
  <LinksUpToDate>false</LinksUpToDate>
  <CharactersWithSpaces>4644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2024-11-08T01:56:00Z</dcterms:created>
  <dc:creator>Administrator</dc:creator>
  <cp:lastModifiedBy>杨广益</cp:lastModifiedBy>
  <dcterms:modified xsi:type="dcterms:W3CDTF">2025-01-14T18:03:32Z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CAF32D6EB7C144D5A967C8A2497CB3DC_13</vt:lpwstr>
  </property>
</Properties>
</file>