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240" w:rsidRDefault="009D3240">
      <w:pPr>
        <w:jc w:val="center"/>
      </w:pPr>
    </w:p>
    <w:p w:rsidR="009D3240" w:rsidRDefault="009D3240">
      <w:pPr>
        <w:jc w:val="center"/>
      </w:pPr>
    </w:p>
    <w:p w:rsidR="009D3240" w:rsidRDefault="009D3240">
      <w:pPr>
        <w:jc w:val="center"/>
      </w:pPr>
    </w:p>
    <w:p w:rsidR="009D3240" w:rsidRDefault="009D3240">
      <w:pPr>
        <w:jc w:val="center"/>
      </w:pPr>
    </w:p>
    <w:p w:rsidR="009D3240" w:rsidRDefault="000C741C">
      <w:pPr>
        <w:jc w:val="center"/>
        <w:rPr>
          <w:rFonts w:eastAsia="黑体"/>
          <w:sz w:val="44"/>
          <w:szCs w:val="44"/>
        </w:rPr>
      </w:pPr>
      <w:r>
        <w:rPr>
          <w:rFonts w:eastAsia="黑体" w:hint="eastAsia"/>
          <w:sz w:val="44"/>
          <w:szCs w:val="44"/>
        </w:rPr>
        <w:t>分析分析试验用小型搅拌器校准规范</w:t>
      </w:r>
    </w:p>
    <w:p w:rsidR="009D3240" w:rsidRDefault="000C741C">
      <w:pPr>
        <w:jc w:val="center"/>
        <w:rPr>
          <w:rFonts w:eastAsia="黑体"/>
          <w:sz w:val="44"/>
          <w:szCs w:val="44"/>
        </w:rPr>
      </w:pPr>
      <w:r>
        <w:rPr>
          <w:rFonts w:eastAsia="黑体"/>
          <w:sz w:val="44"/>
          <w:szCs w:val="44"/>
        </w:rPr>
        <w:t>编制说明</w:t>
      </w:r>
    </w:p>
    <w:p w:rsidR="009D3240" w:rsidRDefault="009D3240">
      <w:pPr>
        <w:jc w:val="center"/>
        <w:rPr>
          <w:rFonts w:eastAsia="黑体"/>
          <w:sz w:val="44"/>
          <w:szCs w:val="44"/>
        </w:rPr>
      </w:pPr>
    </w:p>
    <w:p w:rsidR="009D3240" w:rsidRDefault="009D3240">
      <w:pPr>
        <w:jc w:val="center"/>
        <w:rPr>
          <w:rFonts w:eastAsia="黑体"/>
          <w:sz w:val="28"/>
          <w:szCs w:val="28"/>
        </w:rPr>
      </w:pPr>
    </w:p>
    <w:p w:rsidR="009D3240" w:rsidRDefault="000C741C">
      <w:pPr>
        <w:jc w:val="center"/>
        <w:rPr>
          <w:rFonts w:ascii="黑体" w:eastAsia="黑体" w:hAnsi="黑体"/>
          <w:sz w:val="48"/>
          <w:szCs w:val="48"/>
        </w:rPr>
      </w:pPr>
      <w:r>
        <w:rPr>
          <w:rFonts w:eastAsia="黑体"/>
          <w:sz w:val="30"/>
          <w:szCs w:val="30"/>
        </w:rPr>
        <w:t>（</w:t>
      </w:r>
      <w:r w:rsidR="00051A68">
        <w:rPr>
          <w:rFonts w:eastAsia="黑体"/>
          <w:sz w:val="30"/>
          <w:szCs w:val="30"/>
        </w:rPr>
        <w:t>征求意见</w:t>
      </w:r>
      <w:r>
        <w:rPr>
          <w:rFonts w:eastAsia="黑体"/>
          <w:sz w:val="30"/>
          <w:szCs w:val="30"/>
        </w:rPr>
        <w:t>稿）</w:t>
      </w:r>
    </w:p>
    <w:p w:rsidR="009D3240" w:rsidRDefault="009D3240">
      <w:pPr>
        <w:jc w:val="center"/>
        <w:rPr>
          <w:rFonts w:ascii="宋体" w:hAnsi="宋体"/>
          <w:b/>
          <w:sz w:val="48"/>
          <w:szCs w:val="48"/>
        </w:rPr>
      </w:pPr>
    </w:p>
    <w:p w:rsidR="009D3240" w:rsidRDefault="009D3240">
      <w:pPr>
        <w:jc w:val="center"/>
        <w:rPr>
          <w:rFonts w:ascii="宋体" w:hAnsi="宋体"/>
          <w:b/>
          <w:sz w:val="48"/>
          <w:szCs w:val="48"/>
        </w:rPr>
      </w:pPr>
    </w:p>
    <w:p w:rsidR="009D3240" w:rsidRDefault="000C741C">
      <w:pPr>
        <w:jc w:val="center"/>
        <w:rPr>
          <w:rFonts w:ascii="宋体" w:hAnsi="宋体"/>
          <w:b/>
          <w:sz w:val="48"/>
          <w:szCs w:val="48"/>
        </w:rPr>
      </w:pPr>
      <w:r>
        <w:rPr>
          <w:rFonts w:ascii="宋体" w:hAnsi="宋体" w:hint="eastAsia"/>
          <w:b/>
          <w:sz w:val="48"/>
          <w:szCs w:val="48"/>
        </w:rPr>
        <w:t xml:space="preserve">  </w:t>
      </w:r>
    </w:p>
    <w:p w:rsidR="009D3240" w:rsidRDefault="009D3240">
      <w:pPr>
        <w:jc w:val="center"/>
        <w:rPr>
          <w:rFonts w:ascii="宋体" w:hAnsi="宋体"/>
          <w:b/>
          <w:sz w:val="30"/>
          <w:szCs w:val="30"/>
        </w:rPr>
      </w:pPr>
    </w:p>
    <w:p w:rsidR="009D3240" w:rsidRDefault="009D3240">
      <w:pPr>
        <w:jc w:val="center"/>
        <w:rPr>
          <w:rFonts w:ascii="宋体" w:hAnsi="宋体"/>
          <w:b/>
          <w:sz w:val="30"/>
          <w:szCs w:val="30"/>
        </w:rPr>
      </w:pPr>
    </w:p>
    <w:p w:rsidR="009D3240" w:rsidRDefault="009D3240">
      <w:pPr>
        <w:jc w:val="center"/>
        <w:rPr>
          <w:rFonts w:ascii="宋体" w:hAnsi="宋体"/>
          <w:b/>
          <w:sz w:val="30"/>
          <w:szCs w:val="30"/>
        </w:rPr>
      </w:pPr>
    </w:p>
    <w:p w:rsidR="009D3240" w:rsidRDefault="009D3240">
      <w:pPr>
        <w:jc w:val="center"/>
        <w:rPr>
          <w:rFonts w:ascii="宋体" w:hAnsi="宋体"/>
          <w:b/>
          <w:sz w:val="30"/>
          <w:szCs w:val="30"/>
        </w:rPr>
      </w:pPr>
    </w:p>
    <w:p w:rsidR="009D3240" w:rsidRDefault="009D3240">
      <w:pPr>
        <w:jc w:val="center"/>
        <w:rPr>
          <w:rFonts w:ascii="宋体" w:hAnsi="宋体"/>
          <w:b/>
          <w:sz w:val="30"/>
          <w:szCs w:val="30"/>
        </w:rPr>
      </w:pPr>
    </w:p>
    <w:p w:rsidR="009D3240" w:rsidRDefault="000C741C">
      <w:pPr>
        <w:ind w:firstLineChars="600" w:firstLine="1687"/>
        <w:rPr>
          <w:rFonts w:ascii="Times New Roman" w:eastAsia="黑体" w:hAnsi="Times New Roman"/>
          <w:sz w:val="28"/>
          <w:szCs w:val="28"/>
        </w:rPr>
      </w:pPr>
      <w:r>
        <w:rPr>
          <w:rFonts w:eastAsia="黑体"/>
          <w:b/>
          <w:sz w:val="28"/>
          <w:szCs w:val="28"/>
        </w:rPr>
        <w:t>主要起草单位：</w:t>
      </w:r>
      <w:r>
        <w:rPr>
          <w:rFonts w:ascii="Times New Roman" w:eastAsia="黑体" w:hAnsi="Times New Roman" w:hint="eastAsia"/>
          <w:sz w:val="28"/>
          <w:szCs w:val="28"/>
        </w:rPr>
        <w:t>*********</w:t>
      </w:r>
    </w:p>
    <w:p w:rsidR="009D3240" w:rsidRDefault="000C741C">
      <w:pPr>
        <w:ind w:firstLineChars="300" w:firstLine="840"/>
        <w:rPr>
          <w:rFonts w:ascii="Times New Roman" w:eastAsia="黑体" w:hAnsi="Times New Roman"/>
          <w:sz w:val="28"/>
          <w:szCs w:val="28"/>
        </w:rPr>
      </w:pPr>
      <w:r>
        <w:rPr>
          <w:rFonts w:eastAsia="黑体"/>
          <w:sz w:val="28"/>
          <w:szCs w:val="28"/>
        </w:rPr>
        <w:t xml:space="preserve">              </w:t>
      </w:r>
      <w:r>
        <w:rPr>
          <w:rFonts w:eastAsia="黑体" w:hint="eastAsia"/>
          <w:sz w:val="28"/>
          <w:szCs w:val="28"/>
        </w:rPr>
        <w:t xml:space="preserve">      </w:t>
      </w:r>
      <w:r w:rsidRPr="000C741C">
        <w:rPr>
          <w:rFonts w:ascii="Times New Roman" w:eastAsia="黑体" w:hAnsi="Times New Roman"/>
          <w:sz w:val="28"/>
          <w:szCs w:val="28"/>
        </w:rPr>
        <w:t>*********</w:t>
      </w:r>
    </w:p>
    <w:p w:rsidR="009D3240" w:rsidRDefault="000C741C" w:rsidP="000C741C">
      <w:pPr>
        <w:ind w:firstLineChars="1300" w:firstLine="3640"/>
        <w:rPr>
          <w:rFonts w:ascii="Times New Roman" w:eastAsia="黑体" w:hAnsi="Times New Roman"/>
          <w:sz w:val="28"/>
          <w:szCs w:val="28"/>
        </w:rPr>
      </w:pPr>
      <w:r w:rsidRPr="000C741C">
        <w:rPr>
          <w:rFonts w:ascii="Times New Roman" w:eastAsia="黑体" w:hAnsi="Times New Roman"/>
          <w:sz w:val="28"/>
          <w:szCs w:val="28"/>
        </w:rPr>
        <w:t>*********</w:t>
      </w:r>
    </w:p>
    <w:p w:rsidR="009D3240" w:rsidRDefault="000C741C" w:rsidP="000C741C">
      <w:pPr>
        <w:ind w:firstLineChars="600" w:firstLine="1687"/>
        <w:rPr>
          <w:rFonts w:ascii="Times New Roman" w:eastAsia="黑体" w:hAnsi="Times New Roman"/>
          <w:sz w:val="28"/>
          <w:szCs w:val="28"/>
        </w:rPr>
      </w:pPr>
      <w:r>
        <w:rPr>
          <w:rFonts w:eastAsia="黑体"/>
          <w:b/>
          <w:sz w:val="28"/>
          <w:szCs w:val="28"/>
        </w:rPr>
        <w:t>参加起草单位：</w:t>
      </w:r>
      <w:r w:rsidRPr="000C741C">
        <w:rPr>
          <w:rFonts w:ascii="Times New Roman" w:eastAsia="黑体" w:hAnsi="Times New Roman"/>
          <w:sz w:val="28"/>
          <w:szCs w:val="28"/>
        </w:rPr>
        <w:t>*********</w:t>
      </w:r>
    </w:p>
    <w:p w:rsidR="009D3240" w:rsidRDefault="000C741C">
      <w:pPr>
        <w:ind w:firstLineChars="300" w:firstLine="840"/>
        <w:rPr>
          <w:rFonts w:ascii="Times New Roman" w:eastAsia="黑体" w:hAnsi="Times New Roman"/>
          <w:sz w:val="28"/>
          <w:szCs w:val="28"/>
        </w:rPr>
      </w:pPr>
      <w:r>
        <w:rPr>
          <w:rFonts w:ascii="Times New Roman" w:eastAsia="黑体" w:hAnsi="Times New Roman" w:hint="eastAsia"/>
          <w:sz w:val="28"/>
          <w:szCs w:val="28"/>
        </w:rPr>
        <w:t xml:space="preserve">                    </w:t>
      </w:r>
      <w:r w:rsidRPr="000C741C">
        <w:rPr>
          <w:rFonts w:ascii="Times New Roman" w:eastAsia="黑体" w:hAnsi="Times New Roman"/>
          <w:sz w:val="28"/>
          <w:szCs w:val="28"/>
        </w:rPr>
        <w:t>*********</w:t>
      </w:r>
    </w:p>
    <w:p w:rsidR="009D3240" w:rsidRDefault="000C741C" w:rsidP="000C741C">
      <w:pPr>
        <w:ind w:firstLineChars="1300" w:firstLine="3640"/>
        <w:rPr>
          <w:rFonts w:eastAsia="黑体"/>
          <w:sz w:val="28"/>
          <w:szCs w:val="28"/>
        </w:rPr>
      </w:pPr>
      <w:r w:rsidRPr="000C741C">
        <w:rPr>
          <w:rFonts w:ascii="Times New Roman" w:eastAsia="黑体" w:hAnsi="Times New Roman"/>
          <w:sz w:val="28"/>
          <w:szCs w:val="28"/>
        </w:rPr>
        <w:t>*********</w:t>
      </w:r>
    </w:p>
    <w:p w:rsidR="009D3240" w:rsidRDefault="000C741C">
      <w:pPr>
        <w:ind w:firstLineChars="700" w:firstLine="1968"/>
        <w:rPr>
          <w:rFonts w:ascii="宋体" w:hAnsi="宋体"/>
          <w:b/>
          <w:sz w:val="30"/>
          <w:szCs w:val="30"/>
        </w:rPr>
      </w:pPr>
      <w:r>
        <w:rPr>
          <w:rFonts w:ascii="Times New Roman" w:eastAsia="黑体"/>
          <w:b/>
          <w:sz w:val="28"/>
          <w:szCs w:val="28"/>
        </w:rPr>
        <w:t>审查：</w:t>
      </w:r>
      <w:r>
        <w:rPr>
          <w:rFonts w:ascii="Times New Roman" w:eastAsia="黑体"/>
          <w:sz w:val="28"/>
          <w:szCs w:val="28"/>
        </w:rPr>
        <w:t>全国</w:t>
      </w:r>
      <w:r>
        <w:rPr>
          <w:rFonts w:ascii="Times New Roman" w:eastAsia="黑体" w:hint="eastAsia"/>
          <w:sz w:val="28"/>
          <w:szCs w:val="28"/>
        </w:rPr>
        <w:t>振动冲击转速计量技术</w:t>
      </w:r>
      <w:r>
        <w:rPr>
          <w:rFonts w:ascii="Times New Roman" w:eastAsia="黑体"/>
          <w:sz w:val="28"/>
          <w:szCs w:val="28"/>
        </w:rPr>
        <w:t>委员会</w:t>
      </w:r>
    </w:p>
    <w:p w:rsidR="009D3240" w:rsidRDefault="009D3240">
      <w:pPr>
        <w:tabs>
          <w:tab w:val="left" w:pos="9252"/>
        </w:tabs>
        <w:spacing w:beforeLines="50" w:before="156" w:afterLines="50" w:after="156" w:line="360" w:lineRule="auto"/>
        <w:ind w:rightChars="-308" w:right="-647"/>
        <w:rPr>
          <w:rFonts w:ascii="Arial" w:hAnsi="Arial" w:cs="Arial"/>
          <w:b/>
          <w:sz w:val="36"/>
          <w:szCs w:val="36"/>
        </w:rPr>
      </w:pPr>
    </w:p>
    <w:p w:rsidR="009D3240" w:rsidRDefault="000C741C">
      <w:pPr>
        <w:spacing w:line="360" w:lineRule="auto"/>
        <w:rPr>
          <w:rFonts w:ascii="Arial" w:hAnsi="Arial" w:cs="Arial"/>
          <w:b/>
          <w:sz w:val="28"/>
          <w:szCs w:val="28"/>
        </w:rPr>
      </w:pPr>
      <w:r>
        <w:rPr>
          <w:rFonts w:ascii="Arial" w:hAnsi="宋体" w:cs="Arial"/>
          <w:b/>
          <w:sz w:val="28"/>
          <w:szCs w:val="28"/>
        </w:rPr>
        <w:t>一、任务来源</w:t>
      </w:r>
    </w:p>
    <w:p w:rsidR="009D3240" w:rsidRDefault="000C741C">
      <w:pPr>
        <w:spacing w:line="360" w:lineRule="auto"/>
        <w:ind w:firstLineChars="200" w:firstLine="480"/>
        <w:rPr>
          <w:rFonts w:ascii="Arial" w:hAnsi="Arial" w:cs="Arial"/>
          <w:sz w:val="28"/>
          <w:szCs w:val="28"/>
        </w:rPr>
      </w:pPr>
      <w:r>
        <w:rPr>
          <w:rFonts w:hint="eastAsia"/>
          <w:sz w:val="24"/>
          <w:szCs w:val="24"/>
        </w:rPr>
        <w:t>根据国家市场监督管理</w:t>
      </w:r>
      <w:proofErr w:type="gramStart"/>
      <w:r>
        <w:rPr>
          <w:rFonts w:hint="eastAsia"/>
          <w:sz w:val="24"/>
          <w:szCs w:val="24"/>
        </w:rPr>
        <w:t>总局市监</w:t>
      </w:r>
      <w:proofErr w:type="gramEnd"/>
      <w:r>
        <w:rPr>
          <w:rFonts w:hint="eastAsia"/>
          <w:sz w:val="24"/>
          <w:szCs w:val="24"/>
        </w:rPr>
        <w:t>计量发</w:t>
      </w:r>
      <w:r>
        <w:rPr>
          <w:rFonts w:hint="eastAsia"/>
          <w:sz w:val="24"/>
          <w:szCs w:val="24"/>
        </w:rPr>
        <w:t>[2023]56</w:t>
      </w:r>
      <w:r>
        <w:rPr>
          <w:rFonts w:hint="eastAsia"/>
          <w:sz w:val="24"/>
          <w:szCs w:val="24"/>
        </w:rPr>
        <w:t>号“市场监管总局办公厅关于印发</w:t>
      </w:r>
      <w:r>
        <w:rPr>
          <w:rFonts w:hint="eastAsia"/>
          <w:sz w:val="24"/>
          <w:szCs w:val="24"/>
        </w:rPr>
        <w:t>2023</w:t>
      </w:r>
      <w:r>
        <w:rPr>
          <w:rFonts w:hint="eastAsia"/>
          <w:sz w:val="24"/>
          <w:szCs w:val="24"/>
        </w:rPr>
        <w:t>国家计量技术规范项目制定、修订及宣贯计划的通知”，</w:t>
      </w:r>
      <w:r>
        <w:rPr>
          <w:sz w:val="24"/>
          <w:szCs w:val="24"/>
        </w:rPr>
        <w:t>受</w:t>
      </w:r>
      <w:r>
        <w:rPr>
          <w:rFonts w:hint="eastAsia"/>
          <w:sz w:val="24"/>
          <w:szCs w:val="24"/>
        </w:rPr>
        <w:t>全国振动冲击转速计量技术委员会</w:t>
      </w:r>
      <w:r>
        <w:rPr>
          <w:sz w:val="24"/>
          <w:szCs w:val="24"/>
        </w:rPr>
        <w:t>的委托，由</w:t>
      </w:r>
      <w:r w:rsidR="00744F00">
        <w:rPr>
          <w:rFonts w:hint="eastAsia"/>
          <w:sz w:val="24"/>
          <w:szCs w:val="24"/>
        </w:rPr>
        <w:t>*****</w:t>
      </w:r>
      <w:r>
        <w:rPr>
          <w:rFonts w:hint="eastAsia"/>
          <w:sz w:val="24"/>
          <w:szCs w:val="24"/>
        </w:rPr>
        <w:t>、</w:t>
      </w:r>
      <w:r w:rsidR="00744F00">
        <w:rPr>
          <w:rFonts w:hint="eastAsia"/>
          <w:sz w:val="24"/>
          <w:szCs w:val="24"/>
        </w:rPr>
        <w:t>*****</w:t>
      </w:r>
      <w:r>
        <w:rPr>
          <w:rFonts w:hint="eastAsia"/>
          <w:sz w:val="24"/>
          <w:szCs w:val="24"/>
        </w:rPr>
        <w:t>、</w:t>
      </w:r>
      <w:r w:rsidR="00744F00">
        <w:rPr>
          <w:rFonts w:hint="eastAsia"/>
          <w:sz w:val="24"/>
          <w:szCs w:val="24"/>
        </w:rPr>
        <w:t>*****</w:t>
      </w:r>
      <w:r>
        <w:rPr>
          <w:sz w:val="24"/>
          <w:szCs w:val="24"/>
        </w:rPr>
        <w:t>负责起草</w:t>
      </w:r>
      <w:r>
        <w:rPr>
          <w:rFonts w:hint="eastAsia"/>
          <w:sz w:val="24"/>
          <w:szCs w:val="24"/>
        </w:rPr>
        <w:t>《分析分析试验用小型搅拌器校准规范》。</w:t>
      </w:r>
    </w:p>
    <w:p w:rsidR="009D3240" w:rsidRDefault="000C741C">
      <w:pPr>
        <w:spacing w:line="360" w:lineRule="auto"/>
        <w:rPr>
          <w:rFonts w:ascii="Arial" w:hAnsi="Arial" w:cs="Arial"/>
          <w:b/>
          <w:sz w:val="28"/>
          <w:szCs w:val="28"/>
        </w:rPr>
      </w:pPr>
      <w:r>
        <w:rPr>
          <w:rFonts w:ascii="Arial" w:hAnsi="宋体" w:cs="Arial"/>
          <w:b/>
          <w:sz w:val="28"/>
          <w:szCs w:val="28"/>
        </w:rPr>
        <w:t>二、编写目的和意义</w:t>
      </w:r>
    </w:p>
    <w:p w:rsidR="009D3240" w:rsidRDefault="000C741C">
      <w:pPr>
        <w:spacing w:line="360" w:lineRule="auto"/>
        <w:ind w:firstLine="555"/>
        <w:rPr>
          <w:rFonts w:ascii="Times New Roman" w:hAnsi="Times New Roman"/>
          <w:sz w:val="24"/>
          <w:szCs w:val="24"/>
        </w:rPr>
      </w:pPr>
      <w:bookmarkStart w:id="0" w:name="OLE_LINK18"/>
      <w:bookmarkStart w:id="1" w:name="OLE_LINK17"/>
      <w:r>
        <w:rPr>
          <w:rFonts w:ascii="Times New Roman" w:hAnsi="Times New Roman" w:hint="eastAsia"/>
          <w:sz w:val="24"/>
          <w:szCs w:val="24"/>
        </w:rPr>
        <w:t>分析分析试验用小型搅拌器一般包含磁力、</w:t>
      </w:r>
      <w:proofErr w:type="gramStart"/>
      <w:r>
        <w:rPr>
          <w:rFonts w:ascii="Times New Roman" w:hAnsi="Times New Roman" w:hint="eastAsia"/>
          <w:sz w:val="24"/>
          <w:szCs w:val="24"/>
        </w:rPr>
        <w:t>电动等</w:t>
      </w:r>
      <w:proofErr w:type="gramEnd"/>
      <w:r>
        <w:rPr>
          <w:rFonts w:ascii="Times New Roman" w:hAnsi="Times New Roman" w:hint="eastAsia"/>
          <w:sz w:val="24"/>
          <w:szCs w:val="24"/>
        </w:rPr>
        <w:t>不同原理的小型试验用搅拌器（以下简称搅拌器），是化学和生物学实验中最常用的实验室仪器，主要用于搅拌或同时加热搅拌低粘稠度的液体</w:t>
      </w:r>
      <w:proofErr w:type="gramStart"/>
      <w:r>
        <w:rPr>
          <w:rFonts w:ascii="Times New Roman" w:hAnsi="Times New Roman" w:hint="eastAsia"/>
          <w:sz w:val="24"/>
          <w:szCs w:val="24"/>
        </w:rPr>
        <w:t>或固液混合物</w:t>
      </w:r>
      <w:proofErr w:type="gramEnd"/>
      <w:r>
        <w:rPr>
          <w:rFonts w:ascii="Times New Roman" w:hAnsi="Times New Roman" w:hint="eastAsia"/>
          <w:sz w:val="24"/>
          <w:szCs w:val="24"/>
        </w:rPr>
        <w:t>。其基本原理是使搅拌子在溶液中进行圆周运转，从而达到搅拌液体的目的。配合加热温度控制系统，可以根据具体的实验要求加热并控制样本温度，维持实验条件所需的温度条件，保证液体混合达到实验需求。一般的搅拌器具有搅拌和加热两个作用。具体为：第一个作用，使反应物混合均匀，使温度均匀；第二个作用，加快反应速度，或者蒸发速度，缩短时间，因此其搅拌的转速对实验数据有很大影响。</w:t>
      </w:r>
    </w:p>
    <w:p w:rsidR="009D3240" w:rsidRDefault="000C741C">
      <w:pPr>
        <w:spacing w:line="360" w:lineRule="auto"/>
        <w:ind w:firstLine="555"/>
        <w:rPr>
          <w:rFonts w:ascii="Times New Roman" w:hAnsi="Times New Roman"/>
          <w:sz w:val="24"/>
          <w:szCs w:val="24"/>
        </w:rPr>
      </w:pPr>
      <w:r>
        <w:rPr>
          <w:rFonts w:ascii="Times New Roman" w:hAnsi="Times New Roman" w:hint="eastAsia"/>
          <w:sz w:val="24"/>
          <w:szCs w:val="24"/>
        </w:rPr>
        <w:t>制定搅拌器校准规范，将为全国各计量技术机构开展搅拌器校准提供统一的技术依据，规范全国的搅拌器校准方法，确保搅拌器的量值统一，解决搅拌器的量值溯源问题，为搅拌器的量值准确可靠提供有力保障，对搅拌器的生产、使用以及量值溯源具有重要意义，同时也解决制药、化工、医疗卫生等行业的迫切需求。</w:t>
      </w:r>
    </w:p>
    <w:bookmarkEnd w:id="0"/>
    <w:bookmarkEnd w:id="1"/>
    <w:p w:rsidR="009D3240" w:rsidRDefault="000C741C">
      <w:pPr>
        <w:spacing w:line="360" w:lineRule="auto"/>
        <w:rPr>
          <w:sz w:val="24"/>
          <w:szCs w:val="24"/>
        </w:rPr>
      </w:pPr>
      <w:r>
        <w:rPr>
          <w:rFonts w:ascii="Arial" w:hAnsi="宋体" w:cs="Arial"/>
          <w:b/>
          <w:sz w:val="28"/>
          <w:szCs w:val="28"/>
        </w:rPr>
        <w:t>三、编写依据</w:t>
      </w:r>
    </w:p>
    <w:p w:rsidR="009D3240" w:rsidRDefault="000C741C">
      <w:pPr>
        <w:spacing w:line="360" w:lineRule="auto"/>
        <w:ind w:firstLineChars="200" w:firstLine="480"/>
        <w:rPr>
          <w:sz w:val="24"/>
          <w:szCs w:val="24"/>
        </w:rPr>
      </w:pPr>
      <w:r>
        <w:rPr>
          <w:rFonts w:hint="eastAsia"/>
          <w:sz w:val="24"/>
          <w:szCs w:val="24"/>
        </w:rPr>
        <w:t>本规范主要依据</w:t>
      </w:r>
      <w:r>
        <w:rPr>
          <w:rFonts w:hint="eastAsia"/>
          <w:sz w:val="24"/>
          <w:szCs w:val="24"/>
        </w:rPr>
        <w:t>JJF 1071-2010</w:t>
      </w:r>
      <w:r>
        <w:rPr>
          <w:rFonts w:hint="eastAsia"/>
          <w:sz w:val="24"/>
          <w:szCs w:val="24"/>
        </w:rPr>
        <w:t>《国家计量校准规范编写规则》编写，</w:t>
      </w:r>
      <w:r>
        <w:rPr>
          <w:rFonts w:hint="eastAsia"/>
          <w:sz w:val="24"/>
          <w:szCs w:val="24"/>
        </w:rPr>
        <w:t>JJF 1001-2011</w:t>
      </w:r>
      <w:r>
        <w:rPr>
          <w:rFonts w:hint="eastAsia"/>
          <w:sz w:val="24"/>
          <w:szCs w:val="24"/>
        </w:rPr>
        <w:t>《通用计量术语及定义》、</w:t>
      </w:r>
      <w:r>
        <w:rPr>
          <w:rFonts w:hint="eastAsia"/>
          <w:sz w:val="24"/>
          <w:szCs w:val="24"/>
        </w:rPr>
        <w:t>JJF 11059.1-2012</w:t>
      </w:r>
      <w:r>
        <w:rPr>
          <w:rFonts w:hint="eastAsia"/>
          <w:sz w:val="24"/>
          <w:szCs w:val="24"/>
        </w:rPr>
        <w:t>《测量不确定度评定与表示》共同构成支撑本规范制定工作的基础性系列规范。</w:t>
      </w:r>
      <w:r>
        <w:rPr>
          <w:rFonts w:hint="eastAsia"/>
          <w:sz w:val="24"/>
          <w:szCs w:val="24"/>
        </w:rPr>
        <w:t>JJG 105-2019</w:t>
      </w:r>
      <w:r>
        <w:rPr>
          <w:rFonts w:hint="eastAsia"/>
          <w:sz w:val="24"/>
          <w:szCs w:val="24"/>
        </w:rPr>
        <w:t>《转速表》、</w:t>
      </w:r>
      <w:r>
        <w:rPr>
          <w:rFonts w:hint="eastAsia"/>
          <w:sz w:val="24"/>
          <w:szCs w:val="24"/>
        </w:rPr>
        <w:t>JJF 2004-2022</w:t>
      </w:r>
      <w:r>
        <w:rPr>
          <w:rFonts w:hint="eastAsia"/>
          <w:sz w:val="24"/>
          <w:szCs w:val="24"/>
        </w:rPr>
        <w:t>《医用离心机》和</w:t>
      </w:r>
      <w:r w:rsidR="002D1F42" w:rsidRPr="002D1F42">
        <w:rPr>
          <w:rFonts w:hint="eastAsia"/>
          <w:sz w:val="24"/>
          <w:szCs w:val="24"/>
        </w:rPr>
        <w:t xml:space="preserve">JJG229-2010 </w:t>
      </w:r>
      <w:r w:rsidR="002D1F42" w:rsidRPr="002D1F42">
        <w:rPr>
          <w:rFonts w:hint="eastAsia"/>
          <w:sz w:val="24"/>
          <w:szCs w:val="24"/>
        </w:rPr>
        <w:t>工业铂、铜热电阻</w:t>
      </w:r>
      <w:r>
        <w:rPr>
          <w:rFonts w:hint="eastAsia"/>
          <w:sz w:val="24"/>
          <w:szCs w:val="24"/>
        </w:rPr>
        <w:t>构成支撑本校准规范制定工作的技术性系列标准。</w:t>
      </w:r>
    </w:p>
    <w:p w:rsidR="009D3240" w:rsidRDefault="000C741C">
      <w:pPr>
        <w:spacing w:line="360" w:lineRule="auto"/>
        <w:rPr>
          <w:rFonts w:ascii="Arial" w:hAnsi="宋体" w:cs="Arial"/>
          <w:b/>
          <w:sz w:val="28"/>
          <w:szCs w:val="28"/>
        </w:rPr>
      </w:pPr>
      <w:r>
        <w:rPr>
          <w:rFonts w:ascii="Arial" w:hAnsi="宋体" w:cs="Arial" w:hint="eastAsia"/>
          <w:b/>
          <w:sz w:val="28"/>
          <w:szCs w:val="28"/>
        </w:rPr>
        <w:t>四、起草过程</w:t>
      </w:r>
    </w:p>
    <w:p w:rsidR="009D3240" w:rsidRDefault="000C741C">
      <w:pPr>
        <w:spacing w:line="360" w:lineRule="auto"/>
        <w:ind w:firstLineChars="200" w:firstLine="480"/>
        <w:rPr>
          <w:sz w:val="24"/>
          <w:szCs w:val="24"/>
        </w:rPr>
      </w:pPr>
      <w:r>
        <w:rPr>
          <w:rFonts w:hint="eastAsia"/>
          <w:sz w:val="24"/>
          <w:szCs w:val="24"/>
        </w:rPr>
        <w:lastRenderedPageBreak/>
        <w:t>接受校准规范编写任务后，起草人员认真学习了</w:t>
      </w:r>
      <w:r>
        <w:rPr>
          <w:rFonts w:hint="eastAsia"/>
          <w:sz w:val="24"/>
          <w:szCs w:val="24"/>
        </w:rPr>
        <w:t>JJG 105-2019</w:t>
      </w:r>
      <w:r>
        <w:rPr>
          <w:rFonts w:hint="eastAsia"/>
          <w:sz w:val="24"/>
          <w:szCs w:val="24"/>
        </w:rPr>
        <w:t>《转速表》和</w:t>
      </w:r>
      <w:r>
        <w:rPr>
          <w:rFonts w:hint="eastAsia"/>
          <w:sz w:val="24"/>
          <w:szCs w:val="24"/>
        </w:rPr>
        <w:t>JJF 2004-2022</w:t>
      </w:r>
      <w:r>
        <w:rPr>
          <w:rFonts w:hint="eastAsia"/>
          <w:sz w:val="24"/>
          <w:szCs w:val="24"/>
        </w:rPr>
        <w:t>《医用离心机》</w:t>
      </w:r>
      <w:r>
        <w:rPr>
          <w:sz w:val="24"/>
          <w:szCs w:val="24"/>
        </w:rPr>
        <w:t>等</w:t>
      </w:r>
      <w:r>
        <w:rPr>
          <w:rFonts w:hint="eastAsia"/>
          <w:sz w:val="24"/>
          <w:szCs w:val="24"/>
        </w:rPr>
        <w:t>规程文件，深入理解规程中的术语及定义，了解试验原理和试验参数，熟悉了分析试验用小型搅拌器的结构组成、主要部件要求和技术指标，对照实验用小型搅拌器的工作原理，起草人员以</w:t>
      </w:r>
      <w:r>
        <w:rPr>
          <w:rFonts w:hint="eastAsia"/>
          <w:sz w:val="24"/>
          <w:szCs w:val="24"/>
        </w:rPr>
        <w:t xml:space="preserve">JJF1001-2011 </w:t>
      </w:r>
      <w:r>
        <w:rPr>
          <w:rFonts w:hint="eastAsia"/>
          <w:sz w:val="24"/>
          <w:szCs w:val="24"/>
        </w:rPr>
        <w:t>《通用计量术语及定义》、</w:t>
      </w:r>
      <w:r>
        <w:rPr>
          <w:rFonts w:hint="eastAsia"/>
          <w:sz w:val="24"/>
          <w:szCs w:val="24"/>
        </w:rPr>
        <w:t>JJF1059.1-2012</w:t>
      </w:r>
      <w:r>
        <w:rPr>
          <w:rFonts w:hint="eastAsia"/>
          <w:sz w:val="24"/>
          <w:szCs w:val="24"/>
        </w:rPr>
        <w:t>《测量不确定度评定与表示》作为编写依据，制定了校准规范的编写方案，在完成初步实验后，依据</w:t>
      </w:r>
      <w:r>
        <w:rPr>
          <w:rFonts w:hint="eastAsia"/>
          <w:sz w:val="24"/>
          <w:szCs w:val="24"/>
        </w:rPr>
        <w:t>JJF1071-2010</w:t>
      </w:r>
      <w:r>
        <w:rPr>
          <w:rFonts w:hint="eastAsia"/>
          <w:sz w:val="24"/>
          <w:szCs w:val="24"/>
        </w:rPr>
        <w:t>《国家计量校准规范编写规则》开始了校准规范的编写工作。整个起草过程经历了酝酿、实验、编写、修改等阶段，起草人员多次对规范进行了修改和实验，完成了征求意见稿、送审稿的编写和实验验证工作。对于收到的建议和意见，都认真的进行了分析和思考，只要是合理的直接采纳，有所启发的重新调整规范内容，采纳的建议或意见超过</w:t>
      </w:r>
      <w:r w:rsidR="006F4DC3">
        <w:rPr>
          <w:rFonts w:hint="eastAsia"/>
          <w:sz w:val="24"/>
          <w:szCs w:val="24"/>
        </w:rPr>
        <w:t>90</w:t>
      </w:r>
      <w:r>
        <w:rPr>
          <w:rFonts w:hint="eastAsia"/>
          <w:sz w:val="24"/>
          <w:szCs w:val="24"/>
        </w:rPr>
        <w:t>%</w:t>
      </w:r>
      <w:r>
        <w:rPr>
          <w:rFonts w:hint="eastAsia"/>
          <w:sz w:val="24"/>
          <w:szCs w:val="24"/>
        </w:rPr>
        <w:t>。</w:t>
      </w:r>
      <w:bookmarkStart w:id="2" w:name="_GoBack"/>
      <w:bookmarkEnd w:id="2"/>
      <w:r>
        <w:rPr>
          <w:rFonts w:hint="eastAsia"/>
          <w:sz w:val="24"/>
          <w:szCs w:val="24"/>
        </w:rPr>
        <w:t>起草人员还深入江苏丰仪同创互联科技有限公司、力辰邦西仪器（常州）有限公司、北京市计量检测科学研究院和上海市计量测试技术研究院等使用单位，与一线操作人员共同进行了讨论，并听取了有关设计、产品检验人员的意见和建议，经过充分沟通，达成了共识，使得最终完成的送审稿易于理解、便于掌握。</w:t>
      </w:r>
    </w:p>
    <w:p w:rsidR="00CA5D7A" w:rsidRPr="00CA5D7A" w:rsidRDefault="00CA5D7A" w:rsidP="00CA5D7A">
      <w:pPr>
        <w:spacing w:line="360" w:lineRule="auto"/>
        <w:ind w:firstLineChars="200" w:firstLine="480"/>
        <w:rPr>
          <w:sz w:val="24"/>
          <w:szCs w:val="24"/>
        </w:rPr>
      </w:pPr>
      <w:r w:rsidRPr="00CA5D7A">
        <w:rPr>
          <w:rFonts w:hint="eastAsia"/>
          <w:sz w:val="24"/>
          <w:szCs w:val="24"/>
        </w:rPr>
        <w:t>规范起草小组于</w:t>
      </w:r>
      <w:r w:rsidRPr="00CA5D7A">
        <w:rPr>
          <w:rFonts w:hint="eastAsia"/>
          <w:sz w:val="24"/>
          <w:szCs w:val="24"/>
        </w:rPr>
        <w:t>20</w:t>
      </w:r>
      <w:r>
        <w:rPr>
          <w:rFonts w:hint="eastAsia"/>
          <w:sz w:val="24"/>
          <w:szCs w:val="24"/>
        </w:rPr>
        <w:t>23</w:t>
      </w:r>
      <w:r w:rsidRPr="00CA5D7A">
        <w:rPr>
          <w:rFonts w:hint="eastAsia"/>
          <w:sz w:val="24"/>
          <w:szCs w:val="24"/>
        </w:rPr>
        <w:t>年</w:t>
      </w:r>
      <w:r>
        <w:rPr>
          <w:rFonts w:hint="eastAsia"/>
          <w:sz w:val="24"/>
          <w:szCs w:val="24"/>
        </w:rPr>
        <w:t>7</w:t>
      </w:r>
      <w:r w:rsidRPr="00CA5D7A">
        <w:rPr>
          <w:rFonts w:hint="eastAsia"/>
          <w:sz w:val="24"/>
          <w:szCs w:val="24"/>
        </w:rPr>
        <w:t>月成立，对规范制订工作进行分工并定出工作计划。</w:t>
      </w:r>
    </w:p>
    <w:p w:rsidR="00CA5D7A" w:rsidRPr="00CA5D7A" w:rsidRDefault="00CA5D7A" w:rsidP="00CA5D7A">
      <w:pPr>
        <w:spacing w:line="360" w:lineRule="auto"/>
        <w:ind w:firstLineChars="200" w:firstLine="480"/>
        <w:rPr>
          <w:sz w:val="24"/>
          <w:szCs w:val="24"/>
        </w:rPr>
      </w:pPr>
      <w:r w:rsidRPr="00CA5D7A">
        <w:rPr>
          <w:rFonts w:hint="eastAsia"/>
          <w:sz w:val="24"/>
          <w:szCs w:val="24"/>
        </w:rPr>
        <w:t>20</w:t>
      </w:r>
      <w:r>
        <w:rPr>
          <w:rFonts w:hint="eastAsia"/>
          <w:sz w:val="24"/>
          <w:szCs w:val="24"/>
        </w:rPr>
        <w:t>23</w:t>
      </w:r>
      <w:r w:rsidRPr="00CA5D7A">
        <w:rPr>
          <w:rFonts w:hint="eastAsia"/>
          <w:sz w:val="24"/>
          <w:szCs w:val="24"/>
        </w:rPr>
        <w:t>年</w:t>
      </w:r>
      <w:r>
        <w:rPr>
          <w:rFonts w:hint="eastAsia"/>
          <w:sz w:val="24"/>
          <w:szCs w:val="24"/>
        </w:rPr>
        <w:t>8</w:t>
      </w:r>
      <w:r w:rsidRPr="00CA5D7A">
        <w:rPr>
          <w:rFonts w:hint="eastAsia"/>
          <w:sz w:val="24"/>
          <w:szCs w:val="24"/>
        </w:rPr>
        <w:t>月至</w:t>
      </w:r>
      <w:r>
        <w:rPr>
          <w:rFonts w:hint="eastAsia"/>
          <w:sz w:val="24"/>
          <w:szCs w:val="24"/>
        </w:rPr>
        <w:t>12</w:t>
      </w:r>
      <w:r w:rsidRPr="00CA5D7A">
        <w:rPr>
          <w:rFonts w:hint="eastAsia"/>
          <w:sz w:val="24"/>
          <w:szCs w:val="24"/>
        </w:rPr>
        <w:t>月，完成了规范起草前期的资料收集和调研。</w:t>
      </w:r>
    </w:p>
    <w:p w:rsidR="00CA5D7A" w:rsidRDefault="00CA5D7A" w:rsidP="00CA5D7A">
      <w:pPr>
        <w:spacing w:line="360" w:lineRule="auto"/>
        <w:ind w:firstLineChars="200" w:firstLine="480"/>
        <w:rPr>
          <w:sz w:val="24"/>
          <w:szCs w:val="24"/>
        </w:rPr>
      </w:pPr>
      <w:r w:rsidRPr="00CA5D7A">
        <w:rPr>
          <w:rFonts w:hint="eastAsia"/>
          <w:sz w:val="24"/>
          <w:szCs w:val="24"/>
        </w:rPr>
        <w:t>20</w:t>
      </w:r>
      <w:r>
        <w:rPr>
          <w:rFonts w:hint="eastAsia"/>
          <w:sz w:val="24"/>
          <w:szCs w:val="24"/>
        </w:rPr>
        <w:t>24</w:t>
      </w:r>
      <w:r w:rsidRPr="00CA5D7A">
        <w:rPr>
          <w:rFonts w:hint="eastAsia"/>
          <w:sz w:val="24"/>
          <w:szCs w:val="24"/>
        </w:rPr>
        <w:t>年</w:t>
      </w:r>
      <w:r>
        <w:rPr>
          <w:rFonts w:hint="eastAsia"/>
          <w:sz w:val="24"/>
          <w:szCs w:val="24"/>
        </w:rPr>
        <w:t>1</w:t>
      </w:r>
      <w:r w:rsidRPr="00CA5D7A">
        <w:rPr>
          <w:rFonts w:hint="eastAsia"/>
          <w:sz w:val="24"/>
          <w:szCs w:val="24"/>
        </w:rPr>
        <w:t>月至</w:t>
      </w:r>
      <w:r>
        <w:rPr>
          <w:rFonts w:hint="eastAsia"/>
          <w:sz w:val="24"/>
          <w:szCs w:val="24"/>
        </w:rPr>
        <w:t>5</w:t>
      </w:r>
      <w:r w:rsidRPr="00CA5D7A">
        <w:rPr>
          <w:rFonts w:hint="eastAsia"/>
          <w:sz w:val="24"/>
          <w:szCs w:val="24"/>
        </w:rPr>
        <w:t>月，完成了规范初稿的起草，经起草小组多次修改后形成了</w:t>
      </w:r>
      <w:bookmarkStart w:id="3" w:name="OLE_LINK7"/>
      <w:bookmarkStart w:id="4" w:name="OLE_LINK8"/>
      <w:r>
        <w:rPr>
          <w:rFonts w:hint="eastAsia"/>
          <w:sz w:val="24"/>
          <w:szCs w:val="24"/>
        </w:rPr>
        <w:t>初</w:t>
      </w:r>
      <w:r w:rsidRPr="00CA5D7A">
        <w:rPr>
          <w:rFonts w:hint="eastAsia"/>
          <w:sz w:val="24"/>
          <w:szCs w:val="24"/>
        </w:rPr>
        <w:t>稿</w:t>
      </w:r>
      <w:bookmarkEnd w:id="3"/>
      <w:bookmarkEnd w:id="4"/>
      <w:r w:rsidRPr="00CA5D7A">
        <w:rPr>
          <w:rFonts w:hint="eastAsia"/>
          <w:sz w:val="24"/>
          <w:szCs w:val="24"/>
        </w:rPr>
        <w:t>。</w:t>
      </w:r>
    </w:p>
    <w:p w:rsidR="00CA5D7A" w:rsidRDefault="00CA5D7A" w:rsidP="00CA5D7A">
      <w:pPr>
        <w:spacing w:line="360" w:lineRule="auto"/>
        <w:ind w:firstLineChars="200" w:firstLine="480"/>
        <w:rPr>
          <w:sz w:val="24"/>
          <w:szCs w:val="24"/>
        </w:rPr>
      </w:pPr>
      <w:r w:rsidRPr="00CA5D7A">
        <w:rPr>
          <w:rFonts w:hint="eastAsia"/>
          <w:sz w:val="24"/>
          <w:szCs w:val="24"/>
        </w:rPr>
        <w:t>20</w:t>
      </w:r>
      <w:r>
        <w:rPr>
          <w:rFonts w:hint="eastAsia"/>
          <w:sz w:val="24"/>
          <w:szCs w:val="24"/>
        </w:rPr>
        <w:t>24</w:t>
      </w:r>
      <w:r w:rsidRPr="00CA5D7A">
        <w:rPr>
          <w:rFonts w:hint="eastAsia"/>
          <w:sz w:val="24"/>
          <w:szCs w:val="24"/>
        </w:rPr>
        <w:t>年</w:t>
      </w:r>
      <w:r>
        <w:rPr>
          <w:rFonts w:hint="eastAsia"/>
          <w:sz w:val="24"/>
          <w:szCs w:val="24"/>
        </w:rPr>
        <w:t>6</w:t>
      </w:r>
      <w:r w:rsidRPr="00CA5D7A">
        <w:rPr>
          <w:rFonts w:hint="eastAsia"/>
          <w:sz w:val="24"/>
          <w:szCs w:val="24"/>
        </w:rPr>
        <w:t>月</w:t>
      </w:r>
      <w:r>
        <w:rPr>
          <w:rFonts w:hint="eastAsia"/>
          <w:sz w:val="24"/>
          <w:szCs w:val="24"/>
        </w:rPr>
        <w:t>至</w:t>
      </w:r>
      <w:r w:rsidR="00E94528">
        <w:rPr>
          <w:rFonts w:hint="eastAsia"/>
          <w:sz w:val="24"/>
          <w:szCs w:val="24"/>
        </w:rPr>
        <w:t>8</w:t>
      </w:r>
      <w:r>
        <w:rPr>
          <w:rFonts w:hint="eastAsia"/>
          <w:sz w:val="24"/>
          <w:szCs w:val="24"/>
        </w:rPr>
        <w:t>月</w:t>
      </w:r>
      <w:r w:rsidRPr="00CA5D7A">
        <w:rPr>
          <w:rFonts w:hint="eastAsia"/>
          <w:sz w:val="24"/>
          <w:szCs w:val="24"/>
        </w:rPr>
        <w:t>，起草小组向全国</w:t>
      </w:r>
      <w:r>
        <w:rPr>
          <w:rFonts w:hint="eastAsia"/>
          <w:sz w:val="24"/>
          <w:szCs w:val="24"/>
        </w:rPr>
        <w:t>多家</w:t>
      </w:r>
      <w:r w:rsidRPr="00CA5D7A">
        <w:rPr>
          <w:rFonts w:hint="eastAsia"/>
          <w:sz w:val="24"/>
          <w:szCs w:val="24"/>
        </w:rPr>
        <w:t>计</w:t>
      </w:r>
      <w:proofErr w:type="gramStart"/>
      <w:r w:rsidRPr="00CA5D7A">
        <w:rPr>
          <w:rFonts w:hint="eastAsia"/>
          <w:sz w:val="24"/>
          <w:szCs w:val="24"/>
        </w:rPr>
        <w:t>量技术</w:t>
      </w:r>
      <w:proofErr w:type="gramEnd"/>
      <w:r w:rsidRPr="00CA5D7A">
        <w:rPr>
          <w:rFonts w:hint="eastAsia"/>
          <w:sz w:val="24"/>
          <w:szCs w:val="24"/>
        </w:rPr>
        <w:t>机构及生产企业发出了</w:t>
      </w:r>
      <w:r w:rsidR="00E94528" w:rsidRPr="00E94528">
        <w:rPr>
          <w:rFonts w:hint="eastAsia"/>
          <w:sz w:val="24"/>
          <w:szCs w:val="24"/>
        </w:rPr>
        <w:t>初稿</w:t>
      </w:r>
      <w:r w:rsidRPr="00CA5D7A">
        <w:rPr>
          <w:rFonts w:hint="eastAsia"/>
          <w:sz w:val="24"/>
          <w:szCs w:val="24"/>
        </w:rPr>
        <w:t>征求意见。</w:t>
      </w:r>
    </w:p>
    <w:p w:rsidR="00CA5D7A" w:rsidRDefault="00E94528" w:rsidP="00CA5D7A">
      <w:pPr>
        <w:spacing w:line="360" w:lineRule="auto"/>
        <w:ind w:firstLineChars="200" w:firstLine="480"/>
        <w:rPr>
          <w:sz w:val="24"/>
          <w:szCs w:val="24"/>
        </w:rPr>
      </w:pPr>
      <w:r w:rsidRPr="00CA5D7A">
        <w:rPr>
          <w:rFonts w:hint="eastAsia"/>
          <w:sz w:val="24"/>
          <w:szCs w:val="24"/>
        </w:rPr>
        <w:t>20</w:t>
      </w:r>
      <w:r>
        <w:rPr>
          <w:rFonts w:hint="eastAsia"/>
          <w:sz w:val="24"/>
          <w:szCs w:val="24"/>
        </w:rPr>
        <w:t>24</w:t>
      </w:r>
      <w:r w:rsidRPr="00CA5D7A">
        <w:rPr>
          <w:rFonts w:hint="eastAsia"/>
          <w:sz w:val="24"/>
          <w:szCs w:val="24"/>
        </w:rPr>
        <w:t>年</w:t>
      </w:r>
      <w:r>
        <w:rPr>
          <w:rFonts w:hint="eastAsia"/>
          <w:sz w:val="24"/>
          <w:szCs w:val="24"/>
        </w:rPr>
        <w:t>10</w:t>
      </w:r>
      <w:r w:rsidRPr="00CA5D7A">
        <w:rPr>
          <w:rFonts w:hint="eastAsia"/>
          <w:sz w:val="24"/>
          <w:szCs w:val="24"/>
        </w:rPr>
        <w:t>月，起草小组对收到的反馈意见进行了认真的归纳分析并完成了相关的测试实验，对规范进行了进一步的修改，</w:t>
      </w:r>
      <w:r>
        <w:rPr>
          <w:rFonts w:hint="eastAsia"/>
          <w:sz w:val="24"/>
          <w:szCs w:val="24"/>
        </w:rPr>
        <w:t>通过了振动转速</w:t>
      </w:r>
      <w:r w:rsidRPr="00CA5D7A">
        <w:rPr>
          <w:rFonts w:hint="eastAsia"/>
          <w:sz w:val="24"/>
          <w:szCs w:val="24"/>
        </w:rPr>
        <w:t>委员会</w:t>
      </w:r>
      <w:r>
        <w:rPr>
          <w:rFonts w:hint="eastAsia"/>
          <w:sz w:val="24"/>
          <w:szCs w:val="24"/>
        </w:rPr>
        <w:t>预</w:t>
      </w:r>
      <w:r w:rsidRPr="00CA5D7A">
        <w:rPr>
          <w:rFonts w:hint="eastAsia"/>
          <w:sz w:val="24"/>
          <w:szCs w:val="24"/>
        </w:rPr>
        <w:t>审。</w:t>
      </w:r>
    </w:p>
    <w:p w:rsidR="00E94528" w:rsidRPr="00CA5D7A" w:rsidRDefault="00E94528" w:rsidP="00E94528">
      <w:pPr>
        <w:spacing w:line="360" w:lineRule="auto"/>
        <w:ind w:firstLineChars="200" w:firstLine="480"/>
        <w:rPr>
          <w:sz w:val="24"/>
          <w:szCs w:val="24"/>
        </w:rPr>
      </w:pPr>
      <w:bookmarkStart w:id="5" w:name="OLE_LINK1"/>
      <w:bookmarkStart w:id="6" w:name="OLE_LINK2"/>
      <w:r w:rsidRPr="00CA5D7A">
        <w:rPr>
          <w:rFonts w:hint="eastAsia"/>
          <w:sz w:val="24"/>
          <w:szCs w:val="24"/>
        </w:rPr>
        <w:t>20</w:t>
      </w:r>
      <w:r>
        <w:rPr>
          <w:rFonts w:hint="eastAsia"/>
          <w:sz w:val="24"/>
          <w:szCs w:val="24"/>
        </w:rPr>
        <w:t>24</w:t>
      </w:r>
      <w:r w:rsidRPr="00CA5D7A">
        <w:rPr>
          <w:rFonts w:hint="eastAsia"/>
          <w:sz w:val="24"/>
          <w:szCs w:val="24"/>
        </w:rPr>
        <w:t>年</w:t>
      </w:r>
      <w:r>
        <w:rPr>
          <w:rFonts w:hint="eastAsia"/>
          <w:sz w:val="24"/>
          <w:szCs w:val="24"/>
        </w:rPr>
        <w:t>11</w:t>
      </w:r>
      <w:r w:rsidRPr="00CA5D7A">
        <w:rPr>
          <w:rFonts w:hint="eastAsia"/>
          <w:sz w:val="24"/>
          <w:szCs w:val="24"/>
        </w:rPr>
        <w:t>月</w:t>
      </w:r>
      <w:r>
        <w:rPr>
          <w:rFonts w:hint="eastAsia"/>
          <w:sz w:val="24"/>
          <w:szCs w:val="24"/>
        </w:rPr>
        <w:t>至</w:t>
      </w:r>
      <w:r>
        <w:rPr>
          <w:rFonts w:hint="eastAsia"/>
          <w:sz w:val="24"/>
          <w:szCs w:val="24"/>
        </w:rPr>
        <w:t>2025</w:t>
      </w:r>
      <w:r>
        <w:rPr>
          <w:rFonts w:hint="eastAsia"/>
          <w:sz w:val="24"/>
          <w:szCs w:val="24"/>
        </w:rPr>
        <w:t>年</w:t>
      </w:r>
      <w:r>
        <w:rPr>
          <w:rFonts w:hint="eastAsia"/>
          <w:sz w:val="24"/>
          <w:szCs w:val="24"/>
        </w:rPr>
        <w:t>2</w:t>
      </w:r>
      <w:r>
        <w:rPr>
          <w:rFonts w:hint="eastAsia"/>
          <w:sz w:val="24"/>
          <w:szCs w:val="24"/>
        </w:rPr>
        <w:t>月</w:t>
      </w:r>
      <w:r w:rsidRPr="00CA5D7A">
        <w:rPr>
          <w:rFonts w:hint="eastAsia"/>
          <w:sz w:val="24"/>
          <w:szCs w:val="24"/>
        </w:rPr>
        <w:t>，起草小组</w:t>
      </w:r>
      <w:r>
        <w:rPr>
          <w:rFonts w:hint="eastAsia"/>
          <w:sz w:val="24"/>
          <w:szCs w:val="24"/>
        </w:rPr>
        <w:t>根据预审会上提出的</w:t>
      </w:r>
      <w:r w:rsidRPr="00E94528">
        <w:rPr>
          <w:rFonts w:hint="eastAsia"/>
          <w:sz w:val="24"/>
          <w:szCs w:val="24"/>
        </w:rPr>
        <w:t>预审</w:t>
      </w:r>
      <w:r>
        <w:rPr>
          <w:rFonts w:hint="eastAsia"/>
          <w:sz w:val="24"/>
          <w:szCs w:val="24"/>
        </w:rPr>
        <w:t>建议和意见</w:t>
      </w:r>
      <w:r w:rsidRPr="00CA5D7A">
        <w:rPr>
          <w:rFonts w:hint="eastAsia"/>
          <w:sz w:val="24"/>
          <w:szCs w:val="24"/>
        </w:rPr>
        <w:t>进行了认真的归纳分析并完成了相关的测试实验，对规范进行了进一步的修改，形成</w:t>
      </w:r>
      <w:r w:rsidRPr="00E94528">
        <w:rPr>
          <w:rFonts w:hint="eastAsia"/>
          <w:sz w:val="24"/>
          <w:szCs w:val="24"/>
        </w:rPr>
        <w:t>征求意见稿</w:t>
      </w:r>
      <w:r>
        <w:rPr>
          <w:rFonts w:hint="eastAsia"/>
          <w:sz w:val="24"/>
          <w:szCs w:val="24"/>
        </w:rPr>
        <w:t>。上报技术委员会公开征集意见</w:t>
      </w:r>
      <w:r w:rsidRPr="00CA5D7A">
        <w:rPr>
          <w:rFonts w:hint="eastAsia"/>
          <w:sz w:val="24"/>
          <w:szCs w:val="24"/>
        </w:rPr>
        <w:t>。</w:t>
      </w:r>
      <w:bookmarkEnd w:id="5"/>
      <w:bookmarkEnd w:id="6"/>
    </w:p>
    <w:p w:rsidR="00CA5D7A" w:rsidRPr="00CA5D7A" w:rsidRDefault="00CA5D7A" w:rsidP="00CA5D7A">
      <w:pPr>
        <w:spacing w:line="360" w:lineRule="auto"/>
        <w:ind w:firstLineChars="200" w:firstLine="480"/>
        <w:rPr>
          <w:sz w:val="24"/>
          <w:szCs w:val="24"/>
        </w:rPr>
      </w:pPr>
      <w:r w:rsidRPr="00CA5D7A">
        <w:rPr>
          <w:rFonts w:hint="eastAsia"/>
          <w:sz w:val="24"/>
          <w:szCs w:val="24"/>
        </w:rPr>
        <w:t>截止到</w:t>
      </w:r>
      <w:r w:rsidRPr="00CA5D7A">
        <w:rPr>
          <w:rFonts w:hint="eastAsia"/>
          <w:sz w:val="24"/>
          <w:szCs w:val="24"/>
        </w:rPr>
        <w:t>20</w:t>
      </w:r>
      <w:r w:rsidR="00E94528">
        <w:rPr>
          <w:rFonts w:hint="eastAsia"/>
          <w:sz w:val="24"/>
          <w:szCs w:val="24"/>
        </w:rPr>
        <w:t>25</w:t>
      </w:r>
      <w:r w:rsidRPr="00CA5D7A">
        <w:rPr>
          <w:rFonts w:hint="eastAsia"/>
          <w:sz w:val="24"/>
          <w:szCs w:val="24"/>
        </w:rPr>
        <w:t>年</w:t>
      </w:r>
      <w:r w:rsidRPr="00CA5D7A">
        <w:rPr>
          <w:rFonts w:hint="eastAsia"/>
          <w:sz w:val="24"/>
          <w:szCs w:val="24"/>
        </w:rPr>
        <w:t>3</w:t>
      </w:r>
      <w:r w:rsidRPr="00CA5D7A">
        <w:rPr>
          <w:rFonts w:hint="eastAsia"/>
          <w:sz w:val="24"/>
          <w:szCs w:val="24"/>
        </w:rPr>
        <w:t>月</w:t>
      </w:r>
      <w:r w:rsidR="006F4DC3">
        <w:rPr>
          <w:rFonts w:hint="eastAsia"/>
          <w:sz w:val="24"/>
          <w:szCs w:val="24"/>
        </w:rPr>
        <w:t>10</w:t>
      </w:r>
      <w:r w:rsidRPr="00CA5D7A">
        <w:rPr>
          <w:rFonts w:hint="eastAsia"/>
          <w:sz w:val="24"/>
          <w:szCs w:val="24"/>
        </w:rPr>
        <w:t>日，共收到</w:t>
      </w:r>
      <w:r w:rsidR="006F4DC3">
        <w:rPr>
          <w:rFonts w:hint="eastAsia"/>
          <w:sz w:val="24"/>
          <w:szCs w:val="24"/>
        </w:rPr>
        <w:t>22</w:t>
      </w:r>
      <w:r w:rsidRPr="00CA5D7A">
        <w:rPr>
          <w:rFonts w:hint="eastAsia"/>
          <w:sz w:val="24"/>
          <w:szCs w:val="24"/>
        </w:rPr>
        <w:t>个单位的回复。其中</w:t>
      </w:r>
      <w:r w:rsidR="006F4DC3">
        <w:rPr>
          <w:rFonts w:hint="eastAsia"/>
          <w:sz w:val="24"/>
          <w:szCs w:val="24"/>
        </w:rPr>
        <w:t>13</w:t>
      </w:r>
      <w:r w:rsidRPr="00CA5D7A">
        <w:rPr>
          <w:rFonts w:hint="eastAsia"/>
          <w:sz w:val="24"/>
          <w:szCs w:val="24"/>
        </w:rPr>
        <w:t>个单位没有意见，</w:t>
      </w:r>
      <w:r w:rsidR="006F4DC3">
        <w:rPr>
          <w:rFonts w:hint="eastAsia"/>
          <w:sz w:val="24"/>
          <w:szCs w:val="24"/>
        </w:rPr>
        <w:t>9</w:t>
      </w:r>
      <w:r w:rsidRPr="00CA5D7A">
        <w:rPr>
          <w:rFonts w:hint="eastAsia"/>
          <w:sz w:val="24"/>
          <w:szCs w:val="24"/>
        </w:rPr>
        <w:t>个单位提出修改意见共</w:t>
      </w:r>
      <w:r w:rsidR="006F4DC3">
        <w:rPr>
          <w:rFonts w:hint="eastAsia"/>
          <w:sz w:val="24"/>
          <w:szCs w:val="24"/>
        </w:rPr>
        <w:t>12</w:t>
      </w:r>
      <w:r w:rsidRPr="00CA5D7A">
        <w:rPr>
          <w:rFonts w:hint="eastAsia"/>
          <w:sz w:val="24"/>
          <w:szCs w:val="24"/>
        </w:rPr>
        <w:t>条。</w:t>
      </w:r>
    </w:p>
    <w:p w:rsidR="00CA5D7A" w:rsidRPr="00CA5D7A" w:rsidRDefault="00CA5D7A" w:rsidP="00CA5D7A">
      <w:pPr>
        <w:spacing w:line="360" w:lineRule="auto"/>
        <w:ind w:firstLineChars="200" w:firstLine="480"/>
        <w:rPr>
          <w:sz w:val="24"/>
          <w:szCs w:val="24"/>
        </w:rPr>
      </w:pPr>
      <w:r w:rsidRPr="00CA5D7A">
        <w:rPr>
          <w:rFonts w:hint="eastAsia"/>
          <w:sz w:val="24"/>
          <w:szCs w:val="24"/>
        </w:rPr>
        <w:lastRenderedPageBreak/>
        <w:t>20</w:t>
      </w:r>
      <w:r w:rsidR="00E94528">
        <w:rPr>
          <w:rFonts w:hint="eastAsia"/>
          <w:sz w:val="24"/>
          <w:szCs w:val="24"/>
        </w:rPr>
        <w:t>25</w:t>
      </w:r>
      <w:r w:rsidRPr="00CA5D7A">
        <w:rPr>
          <w:rFonts w:hint="eastAsia"/>
          <w:sz w:val="24"/>
          <w:szCs w:val="24"/>
        </w:rPr>
        <w:t>年</w:t>
      </w:r>
      <w:r w:rsidR="00E94528">
        <w:rPr>
          <w:rFonts w:hint="eastAsia"/>
          <w:sz w:val="24"/>
          <w:szCs w:val="24"/>
        </w:rPr>
        <w:t>4</w:t>
      </w:r>
      <w:r w:rsidRPr="00CA5D7A">
        <w:rPr>
          <w:rFonts w:hint="eastAsia"/>
          <w:sz w:val="24"/>
          <w:szCs w:val="24"/>
        </w:rPr>
        <w:t>月，起草小组对技术委员会的</w:t>
      </w:r>
      <w:bookmarkStart w:id="7" w:name="OLE_LINK5"/>
      <w:bookmarkStart w:id="8" w:name="OLE_LINK6"/>
      <w:r w:rsidR="00E94528">
        <w:rPr>
          <w:rFonts w:hint="eastAsia"/>
          <w:sz w:val="24"/>
          <w:szCs w:val="24"/>
        </w:rPr>
        <w:t>征集</w:t>
      </w:r>
      <w:r w:rsidRPr="00CA5D7A">
        <w:rPr>
          <w:rFonts w:hint="eastAsia"/>
          <w:sz w:val="24"/>
          <w:szCs w:val="24"/>
        </w:rPr>
        <w:t>意见</w:t>
      </w:r>
      <w:bookmarkEnd w:id="7"/>
      <w:bookmarkEnd w:id="8"/>
      <w:r w:rsidRPr="00CA5D7A">
        <w:rPr>
          <w:rFonts w:hint="eastAsia"/>
          <w:sz w:val="24"/>
          <w:szCs w:val="24"/>
        </w:rPr>
        <w:t>进行了认真的归纳分析并完成了相关的测试实验，对规范进行了进一步的修改，形成上报技术委员会终审的报审稿。</w:t>
      </w:r>
    </w:p>
    <w:p w:rsidR="00CA5D7A" w:rsidRPr="00CA5D7A" w:rsidRDefault="00CA5D7A" w:rsidP="00CA5D7A">
      <w:pPr>
        <w:spacing w:line="360" w:lineRule="auto"/>
        <w:ind w:firstLineChars="200" w:firstLine="480"/>
        <w:rPr>
          <w:sz w:val="24"/>
          <w:szCs w:val="24"/>
        </w:rPr>
      </w:pPr>
      <w:r w:rsidRPr="00CA5D7A">
        <w:rPr>
          <w:rFonts w:hint="eastAsia"/>
          <w:sz w:val="24"/>
          <w:szCs w:val="24"/>
        </w:rPr>
        <w:t>202</w:t>
      </w:r>
      <w:r w:rsidR="006F4DC3">
        <w:rPr>
          <w:rFonts w:hint="eastAsia"/>
          <w:sz w:val="24"/>
          <w:szCs w:val="24"/>
        </w:rPr>
        <w:t>5</w:t>
      </w:r>
      <w:r w:rsidRPr="00CA5D7A">
        <w:rPr>
          <w:rFonts w:hint="eastAsia"/>
          <w:sz w:val="24"/>
          <w:szCs w:val="24"/>
        </w:rPr>
        <w:t>年</w:t>
      </w:r>
      <w:r w:rsidR="00E94528">
        <w:rPr>
          <w:rFonts w:hint="eastAsia"/>
          <w:sz w:val="24"/>
          <w:szCs w:val="24"/>
        </w:rPr>
        <w:t>4</w:t>
      </w:r>
      <w:r w:rsidRPr="00CA5D7A">
        <w:rPr>
          <w:rFonts w:hint="eastAsia"/>
          <w:sz w:val="24"/>
          <w:szCs w:val="24"/>
        </w:rPr>
        <w:t>月，技术委员会对报审稿进行了终审，并一致同意根据终审的意见修改后，形成报批稿。</w:t>
      </w:r>
    </w:p>
    <w:p w:rsidR="009D3240" w:rsidRDefault="000C741C">
      <w:pPr>
        <w:spacing w:line="360" w:lineRule="auto"/>
        <w:rPr>
          <w:rFonts w:ascii="黑体" w:eastAsia="黑体" w:hAnsi="黑体"/>
          <w:sz w:val="24"/>
          <w:szCs w:val="24"/>
        </w:rPr>
      </w:pPr>
      <w:r>
        <w:rPr>
          <w:rFonts w:ascii="Arial" w:hAnsi="宋体" w:cs="Arial" w:hint="eastAsia"/>
          <w:b/>
          <w:sz w:val="28"/>
          <w:szCs w:val="28"/>
        </w:rPr>
        <w:t>五、</w:t>
      </w:r>
      <w:r>
        <w:rPr>
          <w:rFonts w:ascii="Arial" w:hAnsi="宋体" w:cs="Arial" w:hint="eastAsia"/>
          <w:b/>
          <w:sz w:val="28"/>
          <w:szCs w:val="28"/>
        </w:rPr>
        <w:tab/>
      </w:r>
      <w:r>
        <w:rPr>
          <w:rFonts w:ascii="黑体" w:eastAsia="黑体" w:hAnsi="黑体" w:hint="eastAsia"/>
          <w:sz w:val="24"/>
          <w:szCs w:val="24"/>
        </w:rPr>
        <w:t>适用范围和主要技术内容</w:t>
      </w:r>
    </w:p>
    <w:p w:rsidR="009D3240" w:rsidRDefault="000C741C">
      <w:pPr>
        <w:spacing w:line="360" w:lineRule="auto"/>
        <w:ind w:firstLineChars="200" w:firstLine="480"/>
        <w:rPr>
          <w:sz w:val="24"/>
          <w:szCs w:val="24"/>
        </w:rPr>
      </w:pPr>
      <w:r>
        <w:rPr>
          <w:sz w:val="24"/>
          <w:szCs w:val="24"/>
        </w:rPr>
        <w:t>《</w:t>
      </w:r>
      <w:r>
        <w:rPr>
          <w:rFonts w:hint="eastAsia"/>
          <w:sz w:val="24"/>
          <w:szCs w:val="24"/>
        </w:rPr>
        <w:t>分析试验用小型搅拌器</w:t>
      </w:r>
      <w:r>
        <w:rPr>
          <w:sz w:val="24"/>
          <w:szCs w:val="24"/>
        </w:rPr>
        <w:t>校准规范》共分为</w:t>
      </w:r>
      <w:r w:rsidR="007F1228">
        <w:rPr>
          <w:rFonts w:hint="eastAsia"/>
          <w:sz w:val="24"/>
          <w:szCs w:val="24"/>
        </w:rPr>
        <w:t>10</w:t>
      </w:r>
      <w:r>
        <w:rPr>
          <w:sz w:val="24"/>
          <w:szCs w:val="24"/>
        </w:rPr>
        <w:t>个部分，即范围、</w:t>
      </w:r>
      <w:r>
        <w:rPr>
          <w:sz w:val="24"/>
          <w:szCs w:val="24"/>
        </w:rPr>
        <w:t xml:space="preserve"> </w:t>
      </w:r>
      <w:r>
        <w:rPr>
          <w:sz w:val="24"/>
          <w:szCs w:val="24"/>
        </w:rPr>
        <w:t>引用文件、</w:t>
      </w:r>
      <w:r w:rsidR="007F1228">
        <w:rPr>
          <w:sz w:val="24"/>
          <w:szCs w:val="24"/>
        </w:rPr>
        <w:t>术语、</w:t>
      </w:r>
      <w:r>
        <w:rPr>
          <w:sz w:val="24"/>
          <w:szCs w:val="24"/>
        </w:rPr>
        <w:t>概述、</w:t>
      </w:r>
      <w:r>
        <w:rPr>
          <w:rFonts w:hint="eastAsia"/>
          <w:sz w:val="24"/>
          <w:szCs w:val="24"/>
        </w:rPr>
        <w:t>计量特性</w:t>
      </w:r>
      <w:r>
        <w:rPr>
          <w:sz w:val="24"/>
          <w:szCs w:val="24"/>
        </w:rPr>
        <w:t>、校准条件、校准</w:t>
      </w:r>
      <w:r>
        <w:rPr>
          <w:rFonts w:hint="eastAsia"/>
          <w:sz w:val="24"/>
          <w:szCs w:val="24"/>
        </w:rPr>
        <w:t>项目和校准方法</w:t>
      </w:r>
      <w:r>
        <w:rPr>
          <w:sz w:val="24"/>
          <w:szCs w:val="24"/>
        </w:rPr>
        <w:t>、</w:t>
      </w:r>
      <w:r>
        <w:rPr>
          <w:rFonts w:hint="eastAsia"/>
          <w:sz w:val="24"/>
          <w:szCs w:val="24"/>
        </w:rPr>
        <w:t>校准结果表达、复校时间间隔</w:t>
      </w:r>
      <w:r>
        <w:rPr>
          <w:sz w:val="24"/>
          <w:szCs w:val="24"/>
        </w:rPr>
        <w:t>和附录等</w:t>
      </w:r>
      <w:r>
        <w:rPr>
          <w:rFonts w:hint="eastAsia"/>
          <w:sz w:val="24"/>
          <w:szCs w:val="24"/>
        </w:rPr>
        <w:t>。</w:t>
      </w:r>
    </w:p>
    <w:p w:rsidR="009D3240" w:rsidRPr="00744F00" w:rsidRDefault="000C741C" w:rsidP="00744F00">
      <w:pPr>
        <w:pStyle w:val="af2"/>
        <w:numPr>
          <w:ilvl w:val="0"/>
          <w:numId w:val="6"/>
        </w:numPr>
        <w:spacing w:line="360" w:lineRule="auto"/>
        <w:ind w:firstLineChars="0"/>
        <w:jc w:val="left"/>
        <w:rPr>
          <w:sz w:val="24"/>
          <w:szCs w:val="24"/>
        </w:rPr>
      </w:pPr>
      <w:r w:rsidRPr="00744F00">
        <w:rPr>
          <w:sz w:val="24"/>
          <w:szCs w:val="24"/>
        </w:rPr>
        <w:t>范围：</w:t>
      </w:r>
    </w:p>
    <w:p w:rsidR="009D3240" w:rsidRDefault="000C741C" w:rsidP="00744F00">
      <w:pPr>
        <w:ind w:firstLineChars="200" w:firstLine="480"/>
        <w:jc w:val="left"/>
        <w:rPr>
          <w:sz w:val="24"/>
        </w:rPr>
      </w:pPr>
      <w:r>
        <w:rPr>
          <w:sz w:val="24"/>
        </w:rPr>
        <w:t>本规范适用于</w:t>
      </w:r>
      <w:r>
        <w:rPr>
          <w:rFonts w:hint="eastAsia"/>
          <w:sz w:val="24"/>
        </w:rPr>
        <w:t>分析试验用小型搅拌器的校准</w:t>
      </w:r>
      <w:r>
        <w:rPr>
          <w:sz w:val="24"/>
        </w:rPr>
        <w:t>。</w:t>
      </w:r>
    </w:p>
    <w:p w:rsidR="009D3240" w:rsidRPr="00744F00" w:rsidRDefault="00744F00" w:rsidP="00744F00">
      <w:pPr>
        <w:spacing w:line="360" w:lineRule="auto"/>
        <w:jc w:val="left"/>
        <w:rPr>
          <w:sz w:val="24"/>
          <w:szCs w:val="24"/>
        </w:rPr>
      </w:pPr>
      <w:r>
        <w:rPr>
          <w:rFonts w:hint="eastAsia"/>
          <w:sz w:val="24"/>
          <w:szCs w:val="24"/>
        </w:rPr>
        <w:t>2</w:t>
      </w:r>
      <w:r>
        <w:rPr>
          <w:rFonts w:hint="eastAsia"/>
          <w:sz w:val="24"/>
          <w:szCs w:val="24"/>
        </w:rPr>
        <w:t>、引用</w:t>
      </w:r>
      <w:r w:rsidR="000C741C" w:rsidRPr="00744F00">
        <w:rPr>
          <w:sz w:val="24"/>
          <w:szCs w:val="24"/>
        </w:rPr>
        <w:t>文件</w:t>
      </w:r>
      <w:r w:rsidR="000C741C" w:rsidRPr="00744F00">
        <w:rPr>
          <w:rFonts w:hint="eastAsia"/>
          <w:sz w:val="24"/>
          <w:szCs w:val="24"/>
        </w:rPr>
        <w:t>：</w:t>
      </w:r>
    </w:p>
    <w:p w:rsidR="009D3240" w:rsidRDefault="000C741C" w:rsidP="00744F00">
      <w:pPr>
        <w:ind w:firstLineChars="200" w:firstLine="480"/>
        <w:jc w:val="left"/>
        <w:rPr>
          <w:sz w:val="24"/>
        </w:rPr>
      </w:pPr>
      <w:r>
        <w:rPr>
          <w:sz w:val="24"/>
        </w:rPr>
        <w:t>本规范引用</w:t>
      </w:r>
      <w:r>
        <w:rPr>
          <w:rFonts w:hint="eastAsia"/>
          <w:sz w:val="24"/>
        </w:rPr>
        <w:t>了</w:t>
      </w:r>
      <w:r>
        <w:rPr>
          <w:sz w:val="24"/>
        </w:rPr>
        <w:t>下列文件：</w:t>
      </w:r>
    </w:p>
    <w:p w:rsidR="009D3240" w:rsidRDefault="000C741C" w:rsidP="00744F00">
      <w:pPr>
        <w:ind w:firstLineChars="200" w:firstLine="480"/>
        <w:jc w:val="left"/>
        <w:rPr>
          <w:sz w:val="24"/>
        </w:rPr>
      </w:pPr>
      <w:r>
        <w:rPr>
          <w:sz w:val="24"/>
        </w:rPr>
        <w:t xml:space="preserve">JJG 105  </w:t>
      </w:r>
      <w:r>
        <w:rPr>
          <w:sz w:val="24"/>
        </w:rPr>
        <w:t>转速表</w:t>
      </w:r>
    </w:p>
    <w:p w:rsidR="000C741C" w:rsidRDefault="000C741C" w:rsidP="00744F00">
      <w:pPr>
        <w:ind w:firstLineChars="200" w:firstLine="480"/>
        <w:jc w:val="left"/>
        <w:rPr>
          <w:sz w:val="24"/>
        </w:rPr>
      </w:pPr>
      <w:bookmarkStart w:id="9" w:name="OLE_LINK3"/>
      <w:bookmarkStart w:id="10" w:name="OLE_LINK4"/>
      <w:r w:rsidRPr="000C741C">
        <w:rPr>
          <w:rFonts w:hint="eastAsia"/>
          <w:sz w:val="24"/>
        </w:rPr>
        <w:t>JJG229-2010</w:t>
      </w:r>
      <w:r>
        <w:rPr>
          <w:rFonts w:hint="eastAsia"/>
          <w:sz w:val="24"/>
        </w:rPr>
        <w:t xml:space="preserve"> </w:t>
      </w:r>
      <w:r w:rsidRPr="000C741C">
        <w:rPr>
          <w:rFonts w:hint="eastAsia"/>
          <w:sz w:val="24"/>
        </w:rPr>
        <w:t>工业铂、铜热电阻</w:t>
      </w:r>
      <w:bookmarkEnd w:id="9"/>
      <w:bookmarkEnd w:id="10"/>
    </w:p>
    <w:p w:rsidR="009D3240" w:rsidRDefault="000C741C" w:rsidP="00744F00">
      <w:pPr>
        <w:ind w:firstLineChars="200" w:firstLine="480"/>
        <w:jc w:val="left"/>
        <w:rPr>
          <w:sz w:val="24"/>
        </w:rPr>
      </w:pPr>
      <w:r>
        <w:rPr>
          <w:sz w:val="24"/>
        </w:rPr>
        <w:t>JJF</w:t>
      </w:r>
      <w:r>
        <w:rPr>
          <w:rFonts w:hint="eastAsia"/>
          <w:sz w:val="24"/>
        </w:rPr>
        <w:t xml:space="preserve"> </w:t>
      </w:r>
      <w:r>
        <w:rPr>
          <w:sz w:val="24"/>
        </w:rPr>
        <w:t xml:space="preserve">2004  </w:t>
      </w:r>
      <w:r>
        <w:rPr>
          <w:sz w:val="24"/>
        </w:rPr>
        <w:t>医用离心机</w:t>
      </w:r>
    </w:p>
    <w:p w:rsidR="009D3240" w:rsidRDefault="000C741C" w:rsidP="00744F00">
      <w:pPr>
        <w:ind w:firstLineChars="200" w:firstLine="480"/>
        <w:jc w:val="left"/>
        <w:rPr>
          <w:rFonts w:hint="eastAsia"/>
          <w:sz w:val="24"/>
        </w:rPr>
      </w:pPr>
      <w:r>
        <w:rPr>
          <w:rFonts w:hint="eastAsia"/>
          <w:sz w:val="24"/>
        </w:rPr>
        <w:t>凡是注日期的引用文件，仅注日期的版本适用于该规范；凡是不注日期的引用文件，其最新版本（包括所有的修改单）适用于本规范。</w:t>
      </w:r>
    </w:p>
    <w:p w:rsidR="007F1228" w:rsidRPr="002D1F42" w:rsidRDefault="002D1F42" w:rsidP="002D1F42">
      <w:pPr>
        <w:jc w:val="left"/>
        <w:rPr>
          <w:rFonts w:hint="eastAsia"/>
          <w:sz w:val="24"/>
        </w:rPr>
      </w:pPr>
      <w:r>
        <w:rPr>
          <w:rFonts w:hint="eastAsia"/>
          <w:sz w:val="24"/>
        </w:rPr>
        <w:t>3</w:t>
      </w:r>
      <w:r>
        <w:rPr>
          <w:rFonts w:hint="eastAsia"/>
          <w:sz w:val="24"/>
        </w:rPr>
        <w:t>、</w:t>
      </w:r>
      <w:r w:rsidR="00744F00" w:rsidRPr="002D1F42">
        <w:rPr>
          <w:rFonts w:hint="eastAsia"/>
          <w:sz w:val="24"/>
        </w:rPr>
        <w:t>术语</w:t>
      </w:r>
    </w:p>
    <w:p w:rsidR="00744F00" w:rsidRPr="00744F00" w:rsidRDefault="002D1F42" w:rsidP="00744F00">
      <w:pPr>
        <w:pStyle w:val="af2"/>
        <w:ind w:left="360" w:firstLineChars="0" w:firstLine="0"/>
        <w:jc w:val="left"/>
        <w:rPr>
          <w:rFonts w:hint="eastAsia"/>
          <w:sz w:val="24"/>
        </w:rPr>
      </w:pPr>
      <w:r>
        <w:rPr>
          <w:rFonts w:hint="eastAsia"/>
          <w:sz w:val="24"/>
        </w:rPr>
        <w:t>对</w:t>
      </w:r>
      <w:r w:rsidR="00744F00">
        <w:rPr>
          <w:rFonts w:hint="eastAsia"/>
          <w:sz w:val="24"/>
        </w:rPr>
        <w:t>搅拌器</w:t>
      </w:r>
      <w:r>
        <w:rPr>
          <w:rFonts w:hint="eastAsia"/>
          <w:sz w:val="24"/>
        </w:rPr>
        <w:t>相关的名词术语进行了解释</w:t>
      </w:r>
    </w:p>
    <w:p w:rsidR="009D3240" w:rsidRPr="002D1F42" w:rsidRDefault="002D1F42" w:rsidP="002D1F42">
      <w:pPr>
        <w:spacing w:line="360" w:lineRule="auto"/>
        <w:jc w:val="left"/>
        <w:rPr>
          <w:sz w:val="24"/>
          <w:szCs w:val="24"/>
        </w:rPr>
      </w:pPr>
      <w:r>
        <w:rPr>
          <w:rFonts w:hint="eastAsia"/>
          <w:sz w:val="24"/>
          <w:szCs w:val="24"/>
        </w:rPr>
        <w:t>4</w:t>
      </w:r>
      <w:r>
        <w:rPr>
          <w:rFonts w:hint="eastAsia"/>
          <w:sz w:val="24"/>
          <w:szCs w:val="24"/>
        </w:rPr>
        <w:t>、</w:t>
      </w:r>
      <w:r w:rsidR="000C741C" w:rsidRPr="002D1F42">
        <w:rPr>
          <w:sz w:val="24"/>
          <w:szCs w:val="24"/>
        </w:rPr>
        <w:t>概述</w:t>
      </w:r>
      <w:r w:rsidR="000C741C" w:rsidRPr="002D1F42">
        <w:rPr>
          <w:rFonts w:hint="eastAsia"/>
          <w:sz w:val="24"/>
          <w:szCs w:val="24"/>
        </w:rPr>
        <w:t>：</w:t>
      </w:r>
    </w:p>
    <w:p w:rsidR="009D3240" w:rsidRDefault="000C741C" w:rsidP="00744F00">
      <w:pPr>
        <w:spacing w:line="360" w:lineRule="auto"/>
        <w:ind w:firstLineChars="200" w:firstLine="480"/>
        <w:jc w:val="left"/>
        <w:rPr>
          <w:sz w:val="24"/>
          <w:szCs w:val="24"/>
        </w:rPr>
      </w:pPr>
      <w:r>
        <w:rPr>
          <w:sz w:val="24"/>
          <w:szCs w:val="24"/>
        </w:rPr>
        <w:t>这部分主要描述了</w:t>
      </w:r>
      <w:r>
        <w:rPr>
          <w:rFonts w:hint="eastAsia"/>
          <w:sz w:val="24"/>
          <w:szCs w:val="24"/>
        </w:rPr>
        <w:t>分析试验用小型搅拌器</w:t>
      </w:r>
      <w:r>
        <w:rPr>
          <w:sz w:val="24"/>
          <w:szCs w:val="24"/>
        </w:rPr>
        <w:t>方法原理</w:t>
      </w:r>
      <w:r>
        <w:rPr>
          <w:rFonts w:hint="eastAsia"/>
          <w:sz w:val="24"/>
          <w:szCs w:val="24"/>
        </w:rPr>
        <w:t>和</w:t>
      </w:r>
      <w:r>
        <w:rPr>
          <w:sz w:val="24"/>
          <w:szCs w:val="24"/>
        </w:rPr>
        <w:t>结构组成。</w:t>
      </w:r>
    </w:p>
    <w:p w:rsidR="009D3240" w:rsidRDefault="007F1228" w:rsidP="00744F00">
      <w:pPr>
        <w:spacing w:line="360" w:lineRule="auto"/>
        <w:jc w:val="left"/>
        <w:rPr>
          <w:sz w:val="24"/>
          <w:szCs w:val="24"/>
        </w:rPr>
      </w:pPr>
      <w:r>
        <w:rPr>
          <w:rFonts w:hint="eastAsia"/>
          <w:sz w:val="24"/>
          <w:szCs w:val="24"/>
        </w:rPr>
        <w:t>5</w:t>
      </w:r>
      <w:r w:rsidR="000C741C">
        <w:rPr>
          <w:sz w:val="24"/>
          <w:szCs w:val="24"/>
        </w:rPr>
        <w:t>、</w:t>
      </w:r>
      <w:r w:rsidR="000C741C">
        <w:rPr>
          <w:sz w:val="24"/>
          <w:szCs w:val="24"/>
        </w:rPr>
        <w:t xml:space="preserve"> </w:t>
      </w:r>
      <w:r w:rsidR="000C741C">
        <w:rPr>
          <w:rFonts w:hint="eastAsia"/>
          <w:sz w:val="24"/>
          <w:szCs w:val="24"/>
        </w:rPr>
        <w:t>计量特性：</w:t>
      </w:r>
    </w:p>
    <w:p w:rsidR="009D3240" w:rsidRDefault="000C741C" w:rsidP="00744F00">
      <w:pPr>
        <w:spacing w:line="360" w:lineRule="auto"/>
        <w:ind w:firstLineChars="200" w:firstLine="480"/>
        <w:jc w:val="left"/>
        <w:rPr>
          <w:sz w:val="24"/>
          <w:szCs w:val="24"/>
        </w:rPr>
      </w:pPr>
      <w:r>
        <w:rPr>
          <w:sz w:val="24"/>
          <w:szCs w:val="24"/>
        </w:rPr>
        <w:t>这部分主要</w:t>
      </w:r>
      <w:r>
        <w:rPr>
          <w:rFonts w:hint="eastAsia"/>
          <w:sz w:val="24"/>
          <w:szCs w:val="24"/>
        </w:rPr>
        <w:t>规定了分析试验用小型搅拌器的计量参数</w:t>
      </w:r>
      <w:r>
        <w:rPr>
          <w:sz w:val="24"/>
          <w:szCs w:val="24"/>
        </w:rPr>
        <w:t>。</w:t>
      </w:r>
    </w:p>
    <w:p w:rsidR="009D3240" w:rsidRDefault="007F1228" w:rsidP="00744F00">
      <w:pPr>
        <w:spacing w:line="360" w:lineRule="auto"/>
        <w:jc w:val="left"/>
        <w:rPr>
          <w:sz w:val="24"/>
          <w:szCs w:val="24"/>
        </w:rPr>
      </w:pPr>
      <w:r>
        <w:rPr>
          <w:rFonts w:hint="eastAsia"/>
          <w:sz w:val="24"/>
          <w:szCs w:val="24"/>
        </w:rPr>
        <w:t>6</w:t>
      </w:r>
      <w:r w:rsidR="000C741C">
        <w:rPr>
          <w:sz w:val="24"/>
          <w:szCs w:val="24"/>
        </w:rPr>
        <w:t>、</w:t>
      </w:r>
      <w:r w:rsidR="000C741C">
        <w:rPr>
          <w:sz w:val="24"/>
          <w:szCs w:val="24"/>
        </w:rPr>
        <w:t xml:space="preserve"> </w:t>
      </w:r>
      <w:r w:rsidR="000C741C">
        <w:rPr>
          <w:rFonts w:hint="eastAsia"/>
          <w:sz w:val="24"/>
          <w:szCs w:val="24"/>
        </w:rPr>
        <w:t>校准条件：</w:t>
      </w:r>
    </w:p>
    <w:p w:rsidR="009D3240" w:rsidRDefault="000C741C">
      <w:pPr>
        <w:spacing w:line="360" w:lineRule="auto"/>
        <w:ind w:firstLineChars="200" w:firstLine="480"/>
        <w:jc w:val="left"/>
        <w:rPr>
          <w:sz w:val="24"/>
          <w:szCs w:val="24"/>
        </w:rPr>
      </w:pPr>
      <w:r>
        <w:rPr>
          <w:sz w:val="24"/>
          <w:szCs w:val="24"/>
        </w:rPr>
        <w:t>这部分主要规定了对</w:t>
      </w:r>
      <w:r>
        <w:rPr>
          <w:rFonts w:hint="eastAsia"/>
          <w:sz w:val="24"/>
          <w:szCs w:val="24"/>
        </w:rPr>
        <w:t>分析试验用小型搅拌器进行校准需要满足的环境条件，</w:t>
      </w:r>
      <w:r>
        <w:rPr>
          <w:rFonts w:hint="eastAsia"/>
          <w:sz w:val="24"/>
          <w:szCs w:val="24"/>
        </w:rPr>
        <w:t xml:space="preserve"> </w:t>
      </w:r>
      <w:r>
        <w:rPr>
          <w:rFonts w:hint="eastAsia"/>
          <w:sz w:val="24"/>
          <w:szCs w:val="24"/>
        </w:rPr>
        <w:t>以及使用的校准设备，以确保测量结果准确可靠。</w:t>
      </w:r>
    </w:p>
    <w:p w:rsidR="009D3240" w:rsidRDefault="007F1228">
      <w:pPr>
        <w:spacing w:line="360" w:lineRule="auto"/>
        <w:jc w:val="left"/>
        <w:rPr>
          <w:sz w:val="24"/>
          <w:szCs w:val="24"/>
        </w:rPr>
      </w:pPr>
      <w:r>
        <w:rPr>
          <w:rFonts w:hint="eastAsia"/>
          <w:sz w:val="24"/>
          <w:szCs w:val="24"/>
        </w:rPr>
        <w:t>7</w:t>
      </w:r>
      <w:r w:rsidR="000C741C">
        <w:rPr>
          <w:sz w:val="24"/>
          <w:szCs w:val="24"/>
        </w:rPr>
        <w:t>、</w:t>
      </w:r>
      <w:r w:rsidR="000C741C">
        <w:rPr>
          <w:sz w:val="24"/>
          <w:szCs w:val="24"/>
        </w:rPr>
        <w:t xml:space="preserve"> </w:t>
      </w:r>
      <w:r w:rsidR="000C741C">
        <w:rPr>
          <w:sz w:val="24"/>
          <w:szCs w:val="24"/>
        </w:rPr>
        <w:t>校准</w:t>
      </w:r>
      <w:r w:rsidR="000C741C">
        <w:rPr>
          <w:rFonts w:hint="eastAsia"/>
          <w:sz w:val="24"/>
          <w:szCs w:val="24"/>
        </w:rPr>
        <w:t>项目和校准方法：</w:t>
      </w:r>
    </w:p>
    <w:p w:rsidR="009D3240" w:rsidRDefault="000C741C">
      <w:pPr>
        <w:spacing w:line="360" w:lineRule="auto"/>
        <w:ind w:firstLineChars="200" w:firstLine="480"/>
        <w:jc w:val="left"/>
        <w:rPr>
          <w:sz w:val="24"/>
          <w:szCs w:val="24"/>
        </w:rPr>
      </w:pPr>
      <w:r>
        <w:rPr>
          <w:sz w:val="24"/>
          <w:szCs w:val="24"/>
        </w:rPr>
        <w:t>这部分主要针对</w:t>
      </w:r>
      <w:r>
        <w:rPr>
          <w:rFonts w:hint="eastAsia"/>
          <w:sz w:val="24"/>
          <w:szCs w:val="24"/>
        </w:rPr>
        <w:t>分析试验用小型搅拌器校准方法流程进行</w:t>
      </w:r>
      <w:r>
        <w:rPr>
          <w:sz w:val="24"/>
          <w:szCs w:val="24"/>
        </w:rPr>
        <w:t>具体说明。</w:t>
      </w:r>
    </w:p>
    <w:p w:rsidR="009D3240" w:rsidRDefault="007F1228">
      <w:pPr>
        <w:spacing w:line="360" w:lineRule="auto"/>
        <w:jc w:val="left"/>
        <w:rPr>
          <w:sz w:val="24"/>
          <w:szCs w:val="24"/>
        </w:rPr>
      </w:pPr>
      <w:r>
        <w:rPr>
          <w:rFonts w:hint="eastAsia"/>
          <w:sz w:val="24"/>
          <w:szCs w:val="24"/>
        </w:rPr>
        <w:t>8</w:t>
      </w:r>
      <w:r w:rsidR="000C741C">
        <w:rPr>
          <w:sz w:val="24"/>
          <w:szCs w:val="24"/>
        </w:rPr>
        <w:t>、</w:t>
      </w:r>
      <w:r w:rsidR="000C741C">
        <w:rPr>
          <w:rFonts w:hint="eastAsia"/>
          <w:sz w:val="24"/>
          <w:szCs w:val="24"/>
        </w:rPr>
        <w:t>校准结果表达</w:t>
      </w:r>
    </w:p>
    <w:p w:rsidR="009D3240" w:rsidRDefault="000C741C">
      <w:pPr>
        <w:spacing w:line="360" w:lineRule="auto"/>
        <w:ind w:firstLineChars="200" w:firstLine="480"/>
        <w:jc w:val="left"/>
        <w:rPr>
          <w:sz w:val="24"/>
          <w:szCs w:val="24"/>
        </w:rPr>
      </w:pPr>
      <w:r>
        <w:rPr>
          <w:rFonts w:hint="eastAsia"/>
          <w:sz w:val="24"/>
          <w:szCs w:val="24"/>
        </w:rPr>
        <w:t>经过校准的分析试验用小型搅拌器出具校准证书，证书应符合</w:t>
      </w:r>
      <w:r>
        <w:rPr>
          <w:rFonts w:hint="eastAsia"/>
          <w:sz w:val="24"/>
          <w:szCs w:val="24"/>
        </w:rPr>
        <w:t>JJF1071-2010</w:t>
      </w:r>
      <w:r>
        <w:rPr>
          <w:rFonts w:hint="eastAsia"/>
          <w:sz w:val="24"/>
          <w:szCs w:val="24"/>
        </w:rPr>
        <w:t>中</w:t>
      </w:r>
      <w:r>
        <w:rPr>
          <w:rFonts w:hint="eastAsia"/>
          <w:sz w:val="24"/>
          <w:szCs w:val="24"/>
        </w:rPr>
        <w:t>5.12</w:t>
      </w:r>
      <w:r>
        <w:rPr>
          <w:rFonts w:hint="eastAsia"/>
          <w:sz w:val="24"/>
          <w:szCs w:val="24"/>
        </w:rPr>
        <w:t>的要求，校准记录格式见附录</w:t>
      </w:r>
      <w:r>
        <w:rPr>
          <w:rFonts w:hint="eastAsia"/>
          <w:sz w:val="24"/>
          <w:szCs w:val="24"/>
        </w:rPr>
        <w:t xml:space="preserve"> A</w:t>
      </w:r>
      <w:r>
        <w:rPr>
          <w:rFonts w:hint="eastAsia"/>
          <w:sz w:val="24"/>
          <w:szCs w:val="24"/>
        </w:rPr>
        <w:t>。</w:t>
      </w:r>
    </w:p>
    <w:p w:rsidR="009D3240" w:rsidRDefault="007F1228">
      <w:pPr>
        <w:spacing w:line="360" w:lineRule="auto"/>
        <w:jc w:val="left"/>
        <w:rPr>
          <w:sz w:val="24"/>
          <w:szCs w:val="24"/>
        </w:rPr>
      </w:pPr>
      <w:r>
        <w:rPr>
          <w:rFonts w:hint="eastAsia"/>
          <w:sz w:val="24"/>
          <w:szCs w:val="24"/>
        </w:rPr>
        <w:lastRenderedPageBreak/>
        <w:t>9</w:t>
      </w:r>
      <w:r w:rsidR="000C741C">
        <w:rPr>
          <w:rFonts w:hint="eastAsia"/>
          <w:sz w:val="24"/>
          <w:szCs w:val="24"/>
        </w:rPr>
        <w:t>、复校时间</w:t>
      </w:r>
    </w:p>
    <w:p w:rsidR="009D3240" w:rsidRDefault="000C741C">
      <w:pPr>
        <w:spacing w:line="360" w:lineRule="auto"/>
        <w:ind w:firstLineChars="200" w:firstLine="480"/>
        <w:jc w:val="left"/>
        <w:rPr>
          <w:sz w:val="24"/>
          <w:szCs w:val="24"/>
        </w:rPr>
      </w:pPr>
      <w:r>
        <w:rPr>
          <w:rFonts w:hint="eastAsia"/>
          <w:sz w:val="24"/>
          <w:szCs w:val="24"/>
        </w:rPr>
        <w:t>这部分对分析试验用小型搅拌器校准方法的复校时间间隔给出了建议。</w:t>
      </w:r>
    </w:p>
    <w:p w:rsidR="009D3240" w:rsidRDefault="007F1228">
      <w:pPr>
        <w:spacing w:line="360" w:lineRule="auto"/>
        <w:jc w:val="left"/>
        <w:rPr>
          <w:sz w:val="24"/>
          <w:szCs w:val="24"/>
        </w:rPr>
      </w:pPr>
      <w:r>
        <w:rPr>
          <w:rFonts w:hint="eastAsia"/>
          <w:sz w:val="24"/>
          <w:szCs w:val="24"/>
        </w:rPr>
        <w:t>10</w:t>
      </w:r>
      <w:r w:rsidR="000C741C">
        <w:rPr>
          <w:rFonts w:hint="eastAsia"/>
          <w:sz w:val="24"/>
          <w:szCs w:val="24"/>
        </w:rPr>
        <w:t>、</w:t>
      </w:r>
      <w:r w:rsidR="000C741C">
        <w:rPr>
          <w:sz w:val="24"/>
          <w:szCs w:val="24"/>
        </w:rPr>
        <w:t>附录</w:t>
      </w:r>
      <w:r w:rsidR="000C741C">
        <w:rPr>
          <w:rFonts w:hint="eastAsia"/>
          <w:sz w:val="24"/>
          <w:szCs w:val="24"/>
        </w:rPr>
        <w:t>：</w:t>
      </w:r>
    </w:p>
    <w:p w:rsidR="009D3240" w:rsidRDefault="000C741C">
      <w:pPr>
        <w:spacing w:line="360" w:lineRule="auto"/>
        <w:ind w:firstLineChars="200" w:firstLine="480"/>
        <w:jc w:val="left"/>
        <w:rPr>
          <w:sz w:val="24"/>
          <w:szCs w:val="24"/>
        </w:rPr>
      </w:pPr>
      <w:r>
        <w:rPr>
          <w:sz w:val="24"/>
          <w:szCs w:val="24"/>
        </w:rPr>
        <w:t>征求意见稿中附录</w:t>
      </w:r>
      <w:r>
        <w:rPr>
          <w:sz w:val="24"/>
          <w:szCs w:val="24"/>
        </w:rPr>
        <w:t xml:space="preserve"> A</w:t>
      </w:r>
      <w:r>
        <w:rPr>
          <w:sz w:val="24"/>
          <w:szCs w:val="24"/>
        </w:rPr>
        <w:t>给出了</w:t>
      </w:r>
      <w:r>
        <w:rPr>
          <w:rFonts w:hint="eastAsia"/>
          <w:sz w:val="24"/>
          <w:szCs w:val="24"/>
        </w:rPr>
        <w:t>分析试验用小型搅拌器原始记录格式</w:t>
      </w:r>
      <w:r>
        <w:rPr>
          <w:sz w:val="24"/>
          <w:szCs w:val="24"/>
        </w:rPr>
        <w:t>，附录</w:t>
      </w:r>
      <w:r>
        <w:rPr>
          <w:rFonts w:hint="eastAsia"/>
          <w:sz w:val="24"/>
          <w:szCs w:val="24"/>
        </w:rPr>
        <w:t>B</w:t>
      </w:r>
      <w:r>
        <w:rPr>
          <w:sz w:val="24"/>
          <w:szCs w:val="24"/>
        </w:rPr>
        <w:t>给出了</w:t>
      </w:r>
      <w:r>
        <w:rPr>
          <w:rFonts w:hint="eastAsia"/>
          <w:sz w:val="24"/>
          <w:szCs w:val="24"/>
        </w:rPr>
        <w:t>分析试验用小型搅拌器校准报告内页格式、附录</w:t>
      </w:r>
      <w:r>
        <w:rPr>
          <w:rFonts w:hint="eastAsia"/>
          <w:sz w:val="24"/>
          <w:szCs w:val="24"/>
        </w:rPr>
        <w:t>C</w:t>
      </w:r>
      <w:r>
        <w:rPr>
          <w:rFonts w:hint="eastAsia"/>
          <w:sz w:val="24"/>
          <w:szCs w:val="24"/>
        </w:rPr>
        <w:t>给出了分析试验用小型搅拌器示值误差的不确定度评定示例。</w:t>
      </w:r>
    </w:p>
    <w:sectPr w:rsidR="009D3240" w:rsidSect="006F4DC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F769C"/>
    <w:multiLevelType w:val="hybridMultilevel"/>
    <w:tmpl w:val="FF2AAC8A"/>
    <w:lvl w:ilvl="0" w:tplc="40DE05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C0B4B0F"/>
    <w:multiLevelType w:val="hybridMultilevel"/>
    <w:tmpl w:val="452ADBFA"/>
    <w:lvl w:ilvl="0" w:tplc="D62AA04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2A51C34"/>
    <w:multiLevelType w:val="hybridMultilevel"/>
    <w:tmpl w:val="4CA02D1E"/>
    <w:lvl w:ilvl="0" w:tplc="9BF0D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21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77CC2FFE"/>
    <w:multiLevelType w:val="hybridMultilevel"/>
    <w:tmpl w:val="EE409D9A"/>
    <w:lvl w:ilvl="0" w:tplc="48902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A35249C"/>
    <w:multiLevelType w:val="multilevel"/>
    <w:tmpl w:val="7A35249C"/>
    <w:lvl w:ilvl="0">
      <w:start w:val="1"/>
      <w:numFmt w:val="decimal"/>
      <w:lvlText w:val="%1、"/>
      <w:lvlJc w:val="left"/>
      <w:pPr>
        <w:ind w:left="468" w:hanging="468"/>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927C40"/>
    <w:multiLevelType w:val="hybridMultilevel"/>
    <w:tmpl w:val="E340CC06"/>
    <w:lvl w:ilvl="0" w:tplc="C6D68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0"/>
  </w:num>
  <w:num w:numId="4">
    <w:abstractNumId w:val="4"/>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iYzM5Y2IyZDVlMDMzNzliMjYxOTM5ZWM0MzAxNTgifQ=="/>
  </w:docVars>
  <w:rsids>
    <w:rsidRoot w:val="00A27DF8"/>
    <w:rsid w:val="000100F4"/>
    <w:rsid w:val="00017649"/>
    <w:rsid w:val="0002154D"/>
    <w:rsid w:val="00044DDB"/>
    <w:rsid w:val="00046BA5"/>
    <w:rsid w:val="00051A68"/>
    <w:rsid w:val="000567C1"/>
    <w:rsid w:val="00065571"/>
    <w:rsid w:val="0009364A"/>
    <w:rsid w:val="000952FC"/>
    <w:rsid w:val="000A714D"/>
    <w:rsid w:val="000B0A02"/>
    <w:rsid w:val="000C037A"/>
    <w:rsid w:val="000C3A53"/>
    <w:rsid w:val="000C3B1C"/>
    <w:rsid w:val="000C3D85"/>
    <w:rsid w:val="000C6112"/>
    <w:rsid w:val="000C741C"/>
    <w:rsid w:val="000D12B1"/>
    <w:rsid w:val="000D6E2B"/>
    <w:rsid w:val="000E44AD"/>
    <w:rsid w:val="000E620B"/>
    <w:rsid w:val="000F4E69"/>
    <w:rsid w:val="000F6AE9"/>
    <w:rsid w:val="000F75E3"/>
    <w:rsid w:val="00113128"/>
    <w:rsid w:val="00115EE7"/>
    <w:rsid w:val="00115F1C"/>
    <w:rsid w:val="001255A1"/>
    <w:rsid w:val="001325BB"/>
    <w:rsid w:val="00132BD6"/>
    <w:rsid w:val="00134075"/>
    <w:rsid w:val="0014342D"/>
    <w:rsid w:val="0015018D"/>
    <w:rsid w:val="00156917"/>
    <w:rsid w:val="00162C3B"/>
    <w:rsid w:val="0016479A"/>
    <w:rsid w:val="00183771"/>
    <w:rsid w:val="00185AB7"/>
    <w:rsid w:val="00185AD0"/>
    <w:rsid w:val="00193B7F"/>
    <w:rsid w:val="00197224"/>
    <w:rsid w:val="00197B59"/>
    <w:rsid w:val="001C0E00"/>
    <w:rsid w:val="001D0C20"/>
    <w:rsid w:val="001D3258"/>
    <w:rsid w:val="001D7053"/>
    <w:rsid w:val="001D792D"/>
    <w:rsid w:val="001E0A73"/>
    <w:rsid w:val="001E2021"/>
    <w:rsid w:val="001E328B"/>
    <w:rsid w:val="001E6CE2"/>
    <w:rsid w:val="001E7077"/>
    <w:rsid w:val="001F154C"/>
    <w:rsid w:val="002014CB"/>
    <w:rsid w:val="00201C1F"/>
    <w:rsid w:val="00203E2C"/>
    <w:rsid w:val="00205D95"/>
    <w:rsid w:val="00212857"/>
    <w:rsid w:val="002138B5"/>
    <w:rsid w:val="00220E74"/>
    <w:rsid w:val="00221090"/>
    <w:rsid w:val="002244D9"/>
    <w:rsid w:val="00236DE8"/>
    <w:rsid w:val="00244EEC"/>
    <w:rsid w:val="0024551B"/>
    <w:rsid w:val="00251702"/>
    <w:rsid w:val="00255E55"/>
    <w:rsid w:val="00264B48"/>
    <w:rsid w:val="00272022"/>
    <w:rsid w:val="00273723"/>
    <w:rsid w:val="002742C5"/>
    <w:rsid w:val="00277798"/>
    <w:rsid w:val="0028470F"/>
    <w:rsid w:val="00285D9D"/>
    <w:rsid w:val="002A7B96"/>
    <w:rsid w:val="002C235A"/>
    <w:rsid w:val="002C332B"/>
    <w:rsid w:val="002C3CC0"/>
    <w:rsid w:val="002C4F7D"/>
    <w:rsid w:val="002D1F42"/>
    <w:rsid w:val="002F4103"/>
    <w:rsid w:val="00300A2C"/>
    <w:rsid w:val="00302CDC"/>
    <w:rsid w:val="00306377"/>
    <w:rsid w:val="00306A85"/>
    <w:rsid w:val="00312EFF"/>
    <w:rsid w:val="00315019"/>
    <w:rsid w:val="00327362"/>
    <w:rsid w:val="00343082"/>
    <w:rsid w:val="00356336"/>
    <w:rsid w:val="003604D2"/>
    <w:rsid w:val="00361C7E"/>
    <w:rsid w:val="003626BC"/>
    <w:rsid w:val="0036650A"/>
    <w:rsid w:val="00367F5D"/>
    <w:rsid w:val="00380909"/>
    <w:rsid w:val="0038202C"/>
    <w:rsid w:val="00385122"/>
    <w:rsid w:val="003971E9"/>
    <w:rsid w:val="003A4988"/>
    <w:rsid w:val="003A57EE"/>
    <w:rsid w:val="003B151C"/>
    <w:rsid w:val="003B6E37"/>
    <w:rsid w:val="003B7981"/>
    <w:rsid w:val="003E1CB6"/>
    <w:rsid w:val="003F2076"/>
    <w:rsid w:val="003F5789"/>
    <w:rsid w:val="003F689B"/>
    <w:rsid w:val="00402F11"/>
    <w:rsid w:val="004112BA"/>
    <w:rsid w:val="00413FF5"/>
    <w:rsid w:val="00421FEB"/>
    <w:rsid w:val="00427069"/>
    <w:rsid w:val="00441A86"/>
    <w:rsid w:val="00442E1E"/>
    <w:rsid w:val="0044412F"/>
    <w:rsid w:val="00445485"/>
    <w:rsid w:val="0044748F"/>
    <w:rsid w:val="00451F2E"/>
    <w:rsid w:val="00453236"/>
    <w:rsid w:val="0045559F"/>
    <w:rsid w:val="0046100E"/>
    <w:rsid w:val="00465213"/>
    <w:rsid w:val="00466CBC"/>
    <w:rsid w:val="00474A60"/>
    <w:rsid w:val="004819B6"/>
    <w:rsid w:val="0048420D"/>
    <w:rsid w:val="00496A14"/>
    <w:rsid w:val="004A4436"/>
    <w:rsid w:val="004B3AB8"/>
    <w:rsid w:val="004B5658"/>
    <w:rsid w:val="004B6E62"/>
    <w:rsid w:val="004D2F7C"/>
    <w:rsid w:val="004E3328"/>
    <w:rsid w:val="004F5733"/>
    <w:rsid w:val="0053061B"/>
    <w:rsid w:val="00531BDC"/>
    <w:rsid w:val="00531C86"/>
    <w:rsid w:val="00534A20"/>
    <w:rsid w:val="005520B0"/>
    <w:rsid w:val="00560AB4"/>
    <w:rsid w:val="00567E3A"/>
    <w:rsid w:val="00574CCE"/>
    <w:rsid w:val="0057571D"/>
    <w:rsid w:val="005872AF"/>
    <w:rsid w:val="00587CE8"/>
    <w:rsid w:val="005A16E4"/>
    <w:rsid w:val="005B1336"/>
    <w:rsid w:val="005B5A3A"/>
    <w:rsid w:val="005B7F00"/>
    <w:rsid w:val="005C1096"/>
    <w:rsid w:val="005C4D2A"/>
    <w:rsid w:val="005C66FB"/>
    <w:rsid w:val="005E3680"/>
    <w:rsid w:val="005E5E59"/>
    <w:rsid w:val="005E717A"/>
    <w:rsid w:val="00602898"/>
    <w:rsid w:val="00611EB1"/>
    <w:rsid w:val="00612327"/>
    <w:rsid w:val="00624525"/>
    <w:rsid w:val="006245CF"/>
    <w:rsid w:val="00642185"/>
    <w:rsid w:val="0066040B"/>
    <w:rsid w:val="006623C5"/>
    <w:rsid w:val="0066356B"/>
    <w:rsid w:val="00673731"/>
    <w:rsid w:val="00682837"/>
    <w:rsid w:val="00686921"/>
    <w:rsid w:val="006921D4"/>
    <w:rsid w:val="0069420A"/>
    <w:rsid w:val="006A2621"/>
    <w:rsid w:val="006A7862"/>
    <w:rsid w:val="006C50C4"/>
    <w:rsid w:val="006D31E0"/>
    <w:rsid w:val="006E381C"/>
    <w:rsid w:val="006F1913"/>
    <w:rsid w:val="006F4DC3"/>
    <w:rsid w:val="007116E4"/>
    <w:rsid w:val="00735055"/>
    <w:rsid w:val="00737CCA"/>
    <w:rsid w:val="007412AC"/>
    <w:rsid w:val="00744F00"/>
    <w:rsid w:val="007538D8"/>
    <w:rsid w:val="007611BF"/>
    <w:rsid w:val="0078750C"/>
    <w:rsid w:val="00794975"/>
    <w:rsid w:val="007B7932"/>
    <w:rsid w:val="007C307F"/>
    <w:rsid w:val="007E3871"/>
    <w:rsid w:val="007F1228"/>
    <w:rsid w:val="007F7694"/>
    <w:rsid w:val="00801CB2"/>
    <w:rsid w:val="0080225B"/>
    <w:rsid w:val="00810318"/>
    <w:rsid w:val="0081572E"/>
    <w:rsid w:val="00830853"/>
    <w:rsid w:val="00831259"/>
    <w:rsid w:val="0083352E"/>
    <w:rsid w:val="00835662"/>
    <w:rsid w:val="008357AF"/>
    <w:rsid w:val="00837CBE"/>
    <w:rsid w:val="00844179"/>
    <w:rsid w:val="00845C3E"/>
    <w:rsid w:val="00846088"/>
    <w:rsid w:val="0084615F"/>
    <w:rsid w:val="0084662C"/>
    <w:rsid w:val="0087703E"/>
    <w:rsid w:val="008771F3"/>
    <w:rsid w:val="0089309B"/>
    <w:rsid w:val="008B5DCA"/>
    <w:rsid w:val="008C3D29"/>
    <w:rsid w:val="008E6DB5"/>
    <w:rsid w:val="008F4FAD"/>
    <w:rsid w:val="00905F20"/>
    <w:rsid w:val="00914D46"/>
    <w:rsid w:val="00916B96"/>
    <w:rsid w:val="00925EF7"/>
    <w:rsid w:val="009266A2"/>
    <w:rsid w:val="009270F6"/>
    <w:rsid w:val="00927147"/>
    <w:rsid w:val="00927F96"/>
    <w:rsid w:val="0096685E"/>
    <w:rsid w:val="00972084"/>
    <w:rsid w:val="0097457A"/>
    <w:rsid w:val="00983351"/>
    <w:rsid w:val="00986F61"/>
    <w:rsid w:val="009875BA"/>
    <w:rsid w:val="00987E08"/>
    <w:rsid w:val="009A2D5B"/>
    <w:rsid w:val="009B0D96"/>
    <w:rsid w:val="009C0B97"/>
    <w:rsid w:val="009D0841"/>
    <w:rsid w:val="009D23C3"/>
    <w:rsid w:val="009D3240"/>
    <w:rsid w:val="009F3C8A"/>
    <w:rsid w:val="00A0089B"/>
    <w:rsid w:val="00A0521E"/>
    <w:rsid w:val="00A06A46"/>
    <w:rsid w:val="00A27B9F"/>
    <w:rsid w:val="00A27DF8"/>
    <w:rsid w:val="00A33A77"/>
    <w:rsid w:val="00A3697F"/>
    <w:rsid w:val="00A45E87"/>
    <w:rsid w:val="00A4705A"/>
    <w:rsid w:val="00A572D8"/>
    <w:rsid w:val="00A67EDB"/>
    <w:rsid w:val="00A725B9"/>
    <w:rsid w:val="00A763B1"/>
    <w:rsid w:val="00A768AC"/>
    <w:rsid w:val="00A83152"/>
    <w:rsid w:val="00A84AAF"/>
    <w:rsid w:val="00A861C1"/>
    <w:rsid w:val="00AC7F1D"/>
    <w:rsid w:val="00AD3D54"/>
    <w:rsid w:val="00AE647D"/>
    <w:rsid w:val="00AF1932"/>
    <w:rsid w:val="00AF5D96"/>
    <w:rsid w:val="00AF73CC"/>
    <w:rsid w:val="00B22177"/>
    <w:rsid w:val="00B25359"/>
    <w:rsid w:val="00B25B4C"/>
    <w:rsid w:val="00B41B3D"/>
    <w:rsid w:val="00B551BD"/>
    <w:rsid w:val="00B66A96"/>
    <w:rsid w:val="00B83398"/>
    <w:rsid w:val="00B83CDA"/>
    <w:rsid w:val="00B939BF"/>
    <w:rsid w:val="00B968C3"/>
    <w:rsid w:val="00B96EB5"/>
    <w:rsid w:val="00B97104"/>
    <w:rsid w:val="00BA0BDE"/>
    <w:rsid w:val="00BC7D4D"/>
    <w:rsid w:val="00BD0D39"/>
    <w:rsid w:val="00BD4906"/>
    <w:rsid w:val="00C05E4A"/>
    <w:rsid w:val="00C1103F"/>
    <w:rsid w:val="00C211A2"/>
    <w:rsid w:val="00C26177"/>
    <w:rsid w:val="00C331C0"/>
    <w:rsid w:val="00C4111A"/>
    <w:rsid w:val="00C4231C"/>
    <w:rsid w:val="00C46CC0"/>
    <w:rsid w:val="00C479EE"/>
    <w:rsid w:val="00C8676E"/>
    <w:rsid w:val="00C94917"/>
    <w:rsid w:val="00CA5D7A"/>
    <w:rsid w:val="00CB2284"/>
    <w:rsid w:val="00CC3997"/>
    <w:rsid w:val="00CD1C6B"/>
    <w:rsid w:val="00CE2F40"/>
    <w:rsid w:val="00CE3D6B"/>
    <w:rsid w:val="00CF3766"/>
    <w:rsid w:val="00D00B34"/>
    <w:rsid w:val="00D021BE"/>
    <w:rsid w:val="00D13143"/>
    <w:rsid w:val="00D140A4"/>
    <w:rsid w:val="00D140AA"/>
    <w:rsid w:val="00D17F32"/>
    <w:rsid w:val="00D20CC6"/>
    <w:rsid w:val="00D22C9E"/>
    <w:rsid w:val="00D4713B"/>
    <w:rsid w:val="00D50F80"/>
    <w:rsid w:val="00D547D2"/>
    <w:rsid w:val="00D60300"/>
    <w:rsid w:val="00D6126B"/>
    <w:rsid w:val="00D61734"/>
    <w:rsid w:val="00D653DA"/>
    <w:rsid w:val="00D66D27"/>
    <w:rsid w:val="00D71B92"/>
    <w:rsid w:val="00D73AD5"/>
    <w:rsid w:val="00D74635"/>
    <w:rsid w:val="00D74DBA"/>
    <w:rsid w:val="00D8214C"/>
    <w:rsid w:val="00D837D3"/>
    <w:rsid w:val="00D865EB"/>
    <w:rsid w:val="00D93B3D"/>
    <w:rsid w:val="00DA4017"/>
    <w:rsid w:val="00DA7B88"/>
    <w:rsid w:val="00DD2C7E"/>
    <w:rsid w:val="00DD4782"/>
    <w:rsid w:val="00DE02B6"/>
    <w:rsid w:val="00DF5C1D"/>
    <w:rsid w:val="00DF6CF6"/>
    <w:rsid w:val="00E0058A"/>
    <w:rsid w:val="00E02AEB"/>
    <w:rsid w:val="00E06905"/>
    <w:rsid w:val="00E10504"/>
    <w:rsid w:val="00E13072"/>
    <w:rsid w:val="00E147C2"/>
    <w:rsid w:val="00E16287"/>
    <w:rsid w:val="00E16395"/>
    <w:rsid w:val="00E333F1"/>
    <w:rsid w:val="00E43108"/>
    <w:rsid w:val="00E46CEE"/>
    <w:rsid w:val="00E539CF"/>
    <w:rsid w:val="00E60890"/>
    <w:rsid w:val="00E63FF5"/>
    <w:rsid w:val="00E717D5"/>
    <w:rsid w:val="00E81F2F"/>
    <w:rsid w:val="00E841EC"/>
    <w:rsid w:val="00E90C89"/>
    <w:rsid w:val="00E94528"/>
    <w:rsid w:val="00EA0E61"/>
    <w:rsid w:val="00EA3374"/>
    <w:rsid w:val="00EA7EFD"/>
    <w:rsid w:val="00EB1712"/>
    <w:rsid w:val="00EB66C7"/>
    <w:rsid w:val="00EC3848"/>
    <w:rsid w:val="00ED331D"/>
    <w:rsid w:val="00ED5E24"/>
    <w:rsid w:val="00ED7415"/>
    <w:rsid w:val="00EE040F"/>
    <w:rsid w:val="00EE125F"/>
    <w:rsid w:val="00EE2BEA"/>
    <w:rsid w:val="00EE5E50"/>
    <w:rsid w:val="00F023EC"/>
    <w:rsid w:val="00F24B3C"/>
    <w:rsid w:val="00F25270"/>
    <w:rsid w:val="00F3255F"/>
    <w:rsid w:val="00F34E64"/>
    <w:rsid w:val="00F35902"/>
    <w:rsid w:val="00F40463"/>
    <w:rsid w:val="00F50202"/>
    <w:rsid w:val="00F514C8"/>
    <w:rsid w:val="00F519C5"/>
    <w:rsid w:val="00F51A08"/>
    <w:rsid w:val="00F56180"/>
    <w:rsid w:val="00F62468"/>
    <w:rsid w:val="00F635F6"/>
    <w:rsid w:val="00F7028C"/>
    <w:rsid w:val="00F721D4"/>
    <w:rsid w:val="00F90DC3"/>
    <w:rsid w:val="00F91FA6"/>
    <w:rsid w:val="00F958B1"/>
    <w:rsid w:val="00F96B62"/>
    <w:rsid w:val="00FA6438"/>
    <w:rsid w:val="00FB6666"/>
    <w:rsid w:val="00FC3343"/>
    <w:rsid w:val="00FE5E49"/>
    <w:rsid w:val="00FE652C"/>
    <w:rsid w:val="00FF0964"/>
    <w:rsid w:val="00FF2C9F"/>
    <w:rsid w:val="0107487B"/>
    <w:rsid w:val="02B40A68"/>
    <w:rsid w:val="03737624"/>
    <w:rsid w:val="06B778F9"/>
    <w:rsid w:val="10404A7D"/>
    <w:rsid w:val="124553BD"/>
    <w:rsid w:val="129479E8"/>
    <w:rsid w:val="17DD3BED"/>
    <w:rsid w:val="1D415744"/>
    <w:rsid w:val="1E33514F"/>
    <w:rsid w:val="1F53525A"/>
    <w:rsid w:val="20132CF3"/>
    <w:rsid w:val="216F5E83"/>
    <w:rsid w:val="243A1912"/>
    <w:rsid w:val="24B9376B"/>
    <w:rsid w:val="2A7C0E1B"/>
    <w:rsid w:val="2ACF5CC4"/>
    <w:rsid w:val="2B603E86"/>
    <w:rsid w:val="2BEB35B8"/>
    <w:rsid w:val="2E1807B2"/>
    <w:rsid w:val="321C4B19"/>
    <w:rsid w:val="32C348EC"/>
    <w:rsid w:val="35A83E34"/>
    <w:rsid w:val="383C7FE5"/>
    <w:rsid w:val="386355A4"/>
    <w:rsid w:val="38F54A91"/>
    <w:rsid w:val="41712A58"/>
    <w:rsid w:val="41951C47"/>
    <w:rsid w:val="426F7774"/>
    <w:rsid w:val="46D610B9"/>
    <w:rsid w:val="483906EF"/>
    <w:rsid w:val="48EA5F75"/>
    <w:rsid w:val="49782462"/>
    <w:rsid w:val="4C3B13CC"/>
    <w:rsid w:val="4CD90864"/>
    <w:rsid w:val="4F106837"/>
    <w:rsid w:val="502551F5"/>
    <w:rsid w:val="511959BA"/>
    <w:rsid w:val="558821CC"/>
    <w:rsid w:val="59E120DF"/>
    <w:rsid w:val="5CE12735"/>
    <w:rsid w:val="62735C7E"/>
    <w:rsid w:val="64AA1554"/>
    <w:rsid w:val="67EF7A23"/>
    <w:rsid w:val="6A8E6A20"/>
    <w:rsid w:val="6BF37FFE"/>
    <w:rsid w:val="710C0F4A"/>
    <w:rsid w:val="750E71A9"/>
    <w:rsid w:val="77216B91"/>
    <w:rsid w:val="77FD6E10"/>
    <w:rsid w:val="7AC57707"/>
    <w:rsid w:val="7BBB017A"/>
    <w:rsid w:val="7DD22742"/>
  </w:rsids>
  <m:mathPr>
    <m:mathFont m:val="Cambria Math"/>
    <m:brkBin m:val="before"/>
    <m:brkBinSub m:val="--"/>
    <m:smallFrac/>
    <m:dispDef/>
    <m:lMargin m:val="0"/>
    <m:rMargin m:val="0"/>
    <m:defJc m:val="centerGroup"/>
    <m:wrapIndent m:val="1440"/>
    <m:intLim m:val="subSup"/>
    <m:naryLim m:val="undOvr"/>
  </m:mathPr>
  <w:themeFontLang w:val="yo-NG"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iPriority="1" w:qFormat="1"/>
    <w:lsdException w:name="Body Text" w:semiHidden="0" w:unhideWhenUsed="0" w:qFormat="1"/>
    <w:lsdException w:name="Body Text Indent"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semiHidden="0" w:uiPriority="0" w:unhideWhenUsed="0" w:qFormat="1"/>
    <w:lsdException w:name="Normal (Web)" w:qFormat="1"/>
    <w:lsdException w:name="Normal Table" w:qFormat="1"/>
    <w:lsdException w:name="Balloon Text"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rPr>
      <w:rFonts w:ascii="Calibri" w:hAnsi="Calibri"/>
      <w:kern w:val="2"/>
      <w:sz w:val="21"/>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w:basedOn w:val="a6"/>
    <w:link w:val="Char"/>
    <w:uiPriority w:val="99"/>
    <w:qFormat/>
    <w:pPr>
      <w:spacing w:after="120"/>
    </w:pPr>
    <w:rPr>
      <w:rFonts w:ascii="Times New Roman" w:hAnsi="Times New Roman"/>
      <w:szCs w:val="24"/>
    </w:rPr>
  </w:style>
  <w:style w:type="paragraph" w:styleId="ab">
    <w:name w:val="Body Text Indent"/>
    <w:basedOn w:val="a6"/>
    <w:link w:val="Char0"/>
    <w:uiPriority w:val="99"/>
    <w:semiHidden/>
    <w:unhideWhenUsed/>
    <w:qFormat/>
    <w:pPr>
      <w:spacing w:after="120"/>
      <w:ind w:leftChars="200" w:left="420"/>
    </w:pPr>
  </w:style>
  <w:style w:type="paragraph" w:styleId="ac">
    <w:name w:val="Plain Text"/>
    <w:basedOn w:val="a6"/>
    <w:link w:val="Char1"/>
    <w:qFormat/>
    <w:rPr>
      <w:rFonts w:ascii="宋体" w:eastAsia="Times New Roman" w:hAnsi="Courier New" w:hint="eastAsia"/>
      <w:szCs w:val="21"/>
    </w:rPr>
  </w:style>
  <w:style w:type="paragraph" w:styleId="ad">
    <w:name w:val="Balloon Text"/>
    <w:basedOn w:val="a6"/>
    <w:link w:val="Char2"/>
    <w:uiPriority w:val="99"/>
    <w:semiHidden/>
    <w:unhideWhenUsed/>
    <w:qFormat/>
    <w:rPr>
      <w:sz w:val="18"/>
      <w:szCs w:val="18"/>
    </w:rPr>
  </w:style>
  <w:style w:type="paragraph" w:styleId="ae">
    <w:name w:val="footer"/>
    <w:basedOn w:val="a6"/>
    <w:link w:val="Char3"/>
    <w:uiPriority w:val="99"/>
    <w:semiHidden/>
    <w:qFormat/>
    <w:pPr>
      <w:tabs>
        <w:tab w:val="center" w:pos="4153"/>
        <w:tab w:val="right" w:pos="8306"/>
      </w:tabs>
      <w:snapToGrid w:val="0"/>
      <w:jc w:val="left"/>
    </w:pPr>
    <w:rPr>
      <w:sz w:val="18"/>
      <w:szCs w:val="18"/>
    </w:rPr>
  </w:style>
  <w:style w:type="paragraph" w:styleId="af">
    <w:name w:val="header"/>
    <w:basedOn w:val="a6"/>
    <w:link w:val="Char4"/>
    <w:uiPriority w:val="99"/>
    <w:semiHidden/>
    <w:qFormat/>
    <w:pPr>
      <w:pBdr>
        <w:bottom w:val="single" w:sz="6" w:space="1" w:color="auto"/>
      </w:pBdr>
      <w:tabs>
        <w:tab w:val="center" w:pos="4153"/>
        <w:tab w:val="right" w:pos="8306"/>
      </w:tabs>
      <w:snapToGrid w:val="0"/>
      <w:jc w:val="center"/>
    </w:pPr>
    <w:rPr>
      <w:sz w:val="18"/>
      <w:szCs w:val="18"/>
    </w:rPr>
  </w:style>
  <w:style w:type="paragraph" w:styleId="af0">
    <w:name w:val="Normal (Web)"/>
    <w:basedOn w:val="a6"/>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customStyle="1" w:styleId="Char4">
    <w:name w:val="页眉 Char"/>
    <w:basedOn w:val="a7"/>
    <w:link w:val="af"/>
    <w:uiPriority w:val="99"/>
    <w:semiHidden/>
    <w:qFormat/>
    <w:locked/>
    <w:rPr>
      <w:rFonts w:cs="Times New Roman"/>
      <w:sz w:val="18"/>
      <w:szCs w:val="18"/>
    </w:rPr>
  </w:style>
  <w:style w:type="character" w:customStyle="1" w:styleId="Char3">
    <w:name w:val="页脚 Char"/>
    <w:basedOn w:val="a7"/>
    <w:link w:val="ae"/>
    <w:uiPriority w:val="99"/>
    <w:semiHidden/>
    <w:qFormat/>
    <w:locked/>
    <w:rPr>
      <w:rFonts w:cs="Times New Roman"/>
      <w:sz w:val="18"/>
      <w:szCs w:val="18"/>
    </w:rPr>
  </w:style>
  <w:style w:type="character" w:customStyle="1" w:styleId="Char5">
    <w:name w:val="纯文本 Char"/>
    <w:basedOn w:val="a7"/>
    <w:qFormat/>
    <w:locked/>
    <w:rPr>
      <w:rFonts w:ascii="宋体" w:eastAsia="宋体" w:hAnsi="Courier New" w:cs="Times New Roman"/>
      <w:sz w:val="20"/>
      <w:szCs w:val="20"/>
    </w:rPr>
  </w:style>
  <w:style w:type="character" w:customStyle="1" w:styleId="Char">
    <w:name w:val="正文文本 Char"/>
    <w:basedOn w:val="a7"/>
    <w:link w:val="aa"/>
    <w:uiPriority w:val="99"/>
    <w:qFormat/>
    <w:locked/>
    <w:rPr>
      <w:rFonts w:ascii="Times New Roman" w:eastAsia="宋体" w:hAnsi="Times New Roman" w:cs="Times New Roman"/>
      <w:sz w:val="24"/>
      <w:szCs w:val="24"/>
    </w:rPr>
  </w:style>
  <w:style w:type="character" w:customStyle="1" w:styleId="Char0">
    <w:name w:val="正文文本缩进 Char"/>
    <w:basedOn w:val="a7"/>
    <w:link w:val="ab"/>
    <w:uiPriority w:val="99"/>
    <w:semiHidden/>
    <w:qFormat/>
    <w:rPr>
      <w:kern w:val="2"/>
      <w:sz w:val="21"/>
      <w:szCs w:val="22"/>
    </w:rPr>
  </w:style>
  <w:style w:type="character" w:customStyle="1" w:styleId="unnamed1">
    <w:name w:val="unnamed1"/>
    <w:qFormat/>
    <w:rPr>
      <w:rFonts w:ascii="Times New Roman" w:hAnsi="Times New Roman" w:cs="Times New Roman"/>
    </w:rPr>
  </w:style>
  <w:style w:type="paragraph" w:customStyle="1" w:styleId="reader-word-layer">
    <w:name w:val="reader-word-layer"/>
    <w:basedOn w:val="a6"/>
    <w:qFormat/>
    <w:pPr>
      <w:widowControl/>
      <w:spacing w:before="100" w:beforeAutospacing="1" w:after="100" w:afterAutospacing="1"/>
      <w:jc w:val="left"/>
    </w:pPr>
    <w:rPr>
      <w:rFonts w:ascii="宋体" w:hAnsi="宋体" w:cs="宋体"/>
      <w:kern w:val="0"/>
      <w:sz w:val="24"/>
      <w:szCs w:val="24"/>
    </w:rPr>
  </w:style>
  <w:style w:type="paragraph" w:customStyle="1" w:styleId="a">
    <w:name w:val="前言、引言标题"/>
    <w:next w:val="a6"/>
    <w:qFormat/>
    <w:pPr>
      <w:numPr>
        <w:numId w:val="1"/>
      </w:numPr>
      <w:shd w:val="clear" w:color="FFFFFF" w:fill="FFFFFF"/>
      <w:spacing w:before="640" w:after="560"/>
      <w:jc w:val="center"/>
      <w:outlineLvl w:val="0"/>
    </w:pPr>
    <w:rPr>
      <w:rFonts w:ascii="黑体" w:eastAsia="黑体"/>
      <w:sz w:val="32"/>
    </w:rPr>
  </w:style>
  <w:style w:type="paragraph" w:customStyle="1" w:styleId="a0">
    <w:name w:val="章标题"/>
    <w:next w:val="a6"/>
    <w:qFormat/>
    <w:pPr>
      <w:numPr>
        <w:ilvl w:val="1"/>
        <w:numId w:val="1"/>
      </w:numPr>
      <w:spacing w:beforeLines="50" w:afterLines="50"/>
      <w:jc w:val="both"/>
      <w:outlineLvl w:val="1"/>
    </w:pPr>
    <w:rPr>
      <w:rFonts w:ascii="黑体" w:eastAsia="黑体"/>
      <w:sz w:val="21"/>
    </w:rPr>
  </w:style>
  <w:style w:type="paragraph" w:customStyle="1" w:styleId="a1">
    <w:name w:val="一级条标题"/>
    <w:basedOn w:val="a0"/>
    <w:next w:val="a6"/>
    <w:qFormat/>
    <w:pPr>
      <w:numPr>
        <w:ilvl w:val="2"/>
      </w:numPr>
      <w:spacing w:beforeLines="0" w:afterLines="0"/>
      <w:outlineLvl w:val="2"/>
    </w:pPr>
  </w:style>
  <w:style w:type="paragraph" w:customStyle="1" w:styleId="a2">
    <w:name w:val="二级条标题"/>
    <w:basedOn w:val="a1"/>
    <w:next w:val="a6"/>
    <w:qFormat/>
    <w:pPr>
      <w:numPr>
        <w:ilvl w:val="3"/>
      </w:numPr>
      <w:outlineLvl w:val="3"/>
    </w:pPr>
  </w:style>
  <w:style w:type="paragraph" w:customStyle="1" w:styleId="a3">
    <w:name w:val="三级条标题"/>
    <w:basedOn w:val="a2"/>
    <w:next w:val="a6"/>
    <w:qFormat/>
    <w:pPr>
      <w:numPr>
        <w:ilvl w:val="4"/>
      </w:numPr>
      <w:outlineLvl w:val="4"/>
    </w:pPr>
  </w:style>
  <w:style w:type="paragraph" w:customStyle="1" w:styleId="a4">
    <w:name w:val="四级条标题"/>
    <w:basedOn w:val="a3"/>
    <w:next w:val="a6"/>
    <w:qFormat/>
    <w:pPr>
      <w:numPr>
        <w:ilvl w:val="5"/>
      </w:numPr>
      <w:tabs>
        <w:tab w:val="left" w:pos="2520"/>
      </w:tabs>
      <w:ind w:left="2520" w:hanging="420"/>
      <w:outlineLvl w:val="5"/>
    </w:pPr>
  </w:style>
  <w:style w:type="paragraph" w:customStyle="1" w:styleId="a5">
    <w:name w:val="五级条标题"/>
    <w:basedOn w:val="a4"/>
    <w:next w:val="a6"/>
    <w:qFormat/>
    <w:pPr>
      <w:numPr>
        <w:ilvl w:val="6"/>
      </w:numPr>
      <w:tabs>
        <w:tab w:val="left" w:pos="1800"/>
      </w:tabs>
      <w:ind w:left="1800" w:hanging="1800"/>
      <w:outlineLvl w:val="6"/>
    </w:pPr>
  </w:style>
  <w:style w:type="paragraph" w:customStyle="1" w:styleId="af1">
    <w:name w:val="三级无"/>
    <w:basedOn w:val="a3"/>
    <w:qFormat/>
    <w:pPr>
      <w:numPr>
        <w:ilvl w:val="0"/>
        <w:numId w:val="0"/>
      </w:numPr>
      <w:tabs>
        <w:tab w:val="left" w:pos="2880"/>
      </w:tabs>
      <w:ind w:left="2880" w:hanging="720"/>
      <w:jc w:val="left"/>
    </w:pPr>
    <w:rPr>
      <w:rFonts w:ascii="宋体" w:eastAsia="宋体"/>
      <w:szCs w:val="21"/>
    </w:rPr>
  </w:style>
  <w:style w:type="character" w:customStyle="1" w:styleId="Char2">
    <w:name w:val="批注框文本 Char"/>
    <w:basedOn w:val="a7"/>
    <w:link w:val="ad"/>
    <w:uiPriority w:val="99"/>
    <w:semiHidden/>
    <w:qFormat/>
    <w:rPr>
      <w:kern w:val="2"/>
      <w:sz w:val="18"/>
      <w:szCs w:val="18"/>
    </w:rPr>
  </w:style>
  <w:style w:type="paragraph" w:styleId="af2">
    <w:name w:val="List Paragraph"/>
    <w:basedOn w:val="a6"/>
    <w:uiPriority w:val="34"/>
    <w:qFormat/>
    <w:pPr>
      <w:ind w:firstLineChars="200" w:firstLine="420"/>
    </w:pPr>
    <w:rPr>
      <w:rFonts w:asciiTheme="minorHAnsi" w:eastAsiaTheme="minorEastAsia" w:hAnsiTheme="minorHAnsi" w:cstheme="minorBidi"/>
    </w:rPr>
  </w:style>
  <w:style w:type="character" w:customStyle="1" w:styleId="Char1">
    <w:name w:val="纯文本 Char1"/>
    <w:basedOn w:val="a7"/>
    <w:link w:val="ac"/>
    <w:rPr>
      <w:rFonts w:ascii="宋体" w:eastAsia="宋体" w:hAnsi="Courier New" w:cs="宋体" w:hint="eastAsia"/>
      <w:kern w:val="2"/>
      <w:sz w:val="21"/>
      <w:szCs w:val="21"/>
      <w:lang w:bidi="a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iPriority="1" w:qFormat="1"/>
    <w:lsdException w:name="Body Text" w:semiHidden="0" w:unhideWhenUsed="0" w:qFormat="1"/>
    <w:lsdException w:name="Body Text Indent"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semiHidden="0" w:uiPriority="0" w:unhideWhenUsed="0" w:qFormat="1"/>
    <w:lsdException w:name="Normal (Web)" w:qFormat="1"/>
    <w:lsdException w:name="Normal Table" w:qFormat="1"/>
    <w:lsdException w:name="Balloon Text"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rPr>
      <w:rFonts w:ascii="Calibri" w:hAnsi="Calibri"/>
      <w:kern w:val="2"/>
      <w:sz w:val="21"/>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w:basedOn w:val="a6"/>
    <w:link w:val="Char"/>
    <w:uiPriority w:val="99"/>
    <w:qFormat/>
    <w:pPr>
      <w:spacing w:after="120"/>
    </w:pPr>
    <w:rPr>
      <w:rFonts w:ascii="Times New Roman" w:hAnsi="Times New Roman"/>
      <w:szCs w:val="24"/>
    </w:rPr>
  </w:style>
  <w:style w:type="paragraph" w:styleId="ab">
    <w:name w:val="Body Text Indent"/>
    <w:basedOn w:val="a6"/>
    <w:link w:val="Char0"/>
    <w:uiPriority w:val="99"/>
    <w:semiHidden/>
    <w:unhideWhenUsed/>
    <w:qFormat/>
    <w:pPr>
      <w:spacing w:after="120"/>
      <w:ind w:leftChars="200" w:left="420"/>
    </w:pPr>
  </w:style>
  <w:style w:type="paragraph" w:styleId="ac">
    <w:name w:val="Plain Text"/>
    <w:basedOn w:val="a6"/>
    <w:link w:val="Char1"/>
    <w:qFormat/>
    <w:rPr>
      <w:rFonts w:ascii="宋体" w:eastAsia="Times New Roman" w:hAnsi="Courier New" w:hint="eastAsia"/>
      <w:szCs w:val="21"/>
    </w:rPr>
  </w:style>
  <w:style w:type="paragraph" w:styleId="ad">
    <w:name w:val="Balloon Text"/>
    <w:basedOn w:val="a6"/>
    <w:link w:val="Char2"/>
    <w:uiPriority w:val="99"/>
    <w:semiHidden/>
    <w:unhideWhenUsed/>
    <w:qFormat/>
    <w:rPr>
      <w:sz w:val="18"/>
      <w:szCs w:val="18"/>
    </w:rPr>
  </w:style>
  <w:style w:type="paragraph" w:styleId="ae">
    <w:name w:val="footer"/>
    <w:basedOn w:val="a6"/>
    <w:link w:val="Char3"/>
    <w:uiPriority w:val="99"/>
    <w:semiHidden/>
    <w:qFormat/>
    <w:pPr>
      <w:tabs>
        <w:tab w:val="center" w:pos="4153"/>
        <w:tab w:val="right" w:pos="8306"/>
      </w:tabs>
      <w:snapToGrid w:val="0"/>
      <w:jc w:val="left"/>
    </w:pPr>
    <w:rPr>
      <w:sz w:val="18"/>
      <w:szCs w:val="18"/>
    </w:rPr>
  </w:style>
  <w:style w:type="paragraph" w:styleId="af">
    <w:name w:val="header"/>
    <w:basedOn w:val="a6"/>
    <w:link w:val="Char4"/>
    <w:uiPriority w:val="99"/>
    <w:semiHidden/>
    <w:qFormat/>
    <w:pPr>
      <w:pBdr>
        <w:bottom w:val="single" w:sz="6" w:space="1" w:color="auto"/>
      </w:pBdr>
      <w:tabs>
        <w:tab w:val="center" w:pos="4153"/>
        <w:tab w:val="right" w:pos="8306"/>
      </w:tabs>
      <w:snapToGrid w:val="0"/>
      <w:jc w:val="center"/>
    </w:pPr>
    <w:rPr>
      <w:sz w:val="18"/>
      <w:szCs w:val="18"/>
    </w:rPr>
  </w:style>
  <w:style w:type="paragraph" w:styleId="af0">
    <w:name w:val="Normal (Web)"/>
    <w:basedOn w:val="a6"/>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customStyle="1" w:styleId="Char4">
    <w:name w:val="页眉 Char"/>
    <w:basedOn w:val="a7"/>
    <w:link w:val="af"/>
    <w:uiPriority w:val="99"/>
    <w:semiHidden/>
    <w:qFormat/>
    <w:locked/>
    <w:rPr>
      <w:rFonts w:cs="Times New Roman"/>
      <w:sz w:val="18"/>
      <w:szCs w:val="18"/>
    </w:rPr>
  </w:style>
  <w:style w:type="character" w:customStyle="1" w:styleId="Char3">
    <w:name w:val="页脚 Char"/>
    <w:basedOn w:val="a7"/>
    <w:link w:val="ae"/>
    <w:uiPriority w:val="99"/>
    <w:semiHidden/>
    <w:qFormat/>
    <w:locked/>
    <w:rPr>
      <w:rFonts w:cs="Times New Roman"/>
      <w:sz w:val="18"/>
      <w:szCs w:val="18"/>
    </w:rPr>
  </w:style>
  <w:style w:type="character" w:customStyle="1" w:styleId="Char5">
    <w:name w:val="纯文本 Char"/>
    <w:basedOn w:val="a7"/>
    <w:qFormat/>
    <w:locked/>
    <w:rPr>
      <w:rFonts w:ascii="宋体" w:eastAsia="宋体" w:hAnsi="Courier New" w:cs="Times New Roman"/>
      <w:sz w:val="20"/>
      <w:szCs w:val="20"/>
    </w:rPr>
  </w:style>
  <w:style w:type="character" w:customStyle="1" w:styleId="Char">
    <w:name w:val="正文文本 Char"/>
    <w:basedOn w:val="a7"/>
    <w:link w:val="aa"/>
    <w:uiPriority w:val="99"/>
    <w:qFormat/>
    <w:locked/>
    <w:rPr>
      <w:rFonts w:ascii="Times New Roman" w:eastAsia="宋体" w:hAnsi="Times New Roman" w:cs="Times New Roman"/>
      <w:sz w:val="24"/>
      <w:szCs w:val="24"/>
    </w:rPr>
  </w:style>
  <w:style w:type="character" w:customStyle="1" w:styleId="Char0">
    <w:name w:val="正文文本缩进 Char"/>
    <w:basedOn w:val="a7"/>
    <w:link w:val="ab"/>
    <w:uiPriority w:val="99"/>
    <w:semiHidden/>
    <w:qFormat/>
    <w:rPr>
      <w:kern w:val="2"/>
      <w:sz w:val="21"/>
      <w:szCs w:val="22"/>
    </w:rPr>
  </w:style>
  <w:style w:type="character" w:customStyle="1" w:styleId="unnamed1">
    <w:name w:val="unnamed1"/>
    <w:qFormat/>
    <w:rPr>
      <w:rFonts w:ascii="Times New Roman" w:hAnsi="Times New Roman" w:cs="Times New Roman"/>
    </w:rPr>
  </w:style>
  <w:style w:type="paragraph" w:customStyle="1" w:styleId="reader-word-layer">
    <w:name w:val="reader-word-layer"/>
    <w:basedOn w:val="a6"/>
    <w:qFormat/>
    <w:pPr>
      <w:widowControl/>
      <w:spacing w:before="100" w:beforeAutospacing="1" w:after="100" w:afterAutospacing="1"/>
      <w:jc w:val="left"/>
    </w:pPr>
    <w:rPr>
      <w:rFonts w:ascii="宋体" w:hAnsi="宋体" w:cs="宋体"/>
      <w:kern w:val="0"/>
      <w:sz w:val="24"/>
      <w:szCs w:val="24"/>
    </w:rPr>
  </w:style>
  <w:style w:type="paragraph" w:customStyle="1" w:styleId="a">
    <w:name w:val="前言、引言标题"/>
    <w:next w:val="a6"/>
    <w:qFormat/>
    <w:pPr>
      <w:numPr>
        <w:numId w:val="1"/>
      </w:numPr>
      <w:shd w:val="clear" w:color="FFFFFF" w:fill="FFFFFF"/>
      <w:spacing w:before="640" w:after="560"/>
      <w:jc w:val="center"/>
      <w:outlineLvl w:val="0"/>
    </w:pPr>
    <w:rPr>
      <w:rFonts w:ascii="黑体" w:eastAsia="黑体"/>
      <w:sz w:val="32"/>
    </w:rPr>
  </w:style>
  <w:style w:type="paragraph" w:customStyle="1" w:styleId="a0">
    <w:name w:val="章标题"/>
    <w:next w:val="a6"/>
    <w:qFormat/>
    <w:pPr>
      <w:numPr>
        <w:ilvl w:val="1"/>
        <w:numId w:val="1"/>
      </w:numPr>
      <w:spacing w:beforeLines="50" w:afterLines="50"/>
      <w:jc w:val="both"/>
      <w:outlineLvl w:val="1"/>
    </w:pPr>
    <w:rPr>
      <w:rFonts w:ascii="黑体" w:eastAsia="黑体"/>
      <w:sz w:val="21"/>
    </w:rPr>
  </w:style>
  <w:style w:type="paragraph" w:customStyle="1" w:styleId="a1">
    <w:name w:val="一级条标题"/>
    <w:basedOn w:val="a0"/>
    <w:next w:val="a6"/>
    <w:qFormat/>
    <w:pPr>
      <w:numPr>
        <w:ilvl w:val="2"/>
      </w:numPr>
      <w:spacing w:beforeLines="0" w:afterLines="0"/>
      <w:outlineLvl w:val="2"/>
    </w:pPr>
  </w:style>
  <w:style w:type="paragraph" w:customStyle="1" w:styleId="a2">
    <w:name w:val="二级条标题"/>
    <w:basedOn w:val="a1"/>
    <w:next w:val="a6"/>
    <w:qFormat/>
    <w:pPr>
      <w:numPr>
        <w:ilvl w:val="3"/>
      </w:numPr>
      <w:outlineLvl w:val="3"/>
    </w:pPr>
  </w:style>
  <w:style w:type="paragraph" w:customStyle="1" w:styleId="a3">
    <w:name w:val="三级条标题"/>
    <w:basedOn w:val="a2"/>
    <w:next w:val="a6"/>
    <w:qFormat/>
    <w:pPr>
      <w:numPr>
        <w:ilvl w:val="4"/>
      </w:numPr>
      <w:outlineLvl w:val="4"/>
    </w:pPr>
  </w:style>
  <w:style w:type="paragraph" w:customStyle="1" w:styleId="a4">
    <w:name w:val="四级条标题"/>
    <w:basedOn w:val="a3"/>
    <w:next w:val="a6"/>
    <w:qFormat/>
    <w:pPr>
      <w:numPr>
        <w:ilvl w:val="5"/>
      </w:numPr>
      <w:tabs>
        <w:tab w:val="left" w:pos="2520"/>
      </w:tabs>
      <w:ind w:left="2520" w:hanging="420"/>
      <w:outlineLvl w:val="5"/>
    </w:pPr>
  </w:style>
  <w:style w:type="paragraph" w:customStyle="1" w:styleId="a5">
    <w:name w:val="五级条标题"/>
    <w:basedOn w:val="a4"/>
    <w:next w:val="a6"/>
    <w:qFormat/>
    <w:pPr>
      <w:numPr>
        <w:ilvl w:val="6"/>
      </w:numPr>
      <w:tabs>
        <w:tab w:val="left" w:pos="1800"/>
      </w:tabs>
      <w:ind w:left="1800" w:hanging="1800"/>
      <w:outlineLvl w:val="6"/>
    </w:pPr>
  </w:style>
  <w:style w:type="paragraph" w:customStyle="1" w:styleId="af1">
    <w:name w:val="三级无"/>
    <w:basedOn w:val="a3"/>
    <w:qFormat/>
    <w:pPr>
      <w:numPr>
        <w:ilvl w:val="0"/>
        <w:numId w:val="0"/>
      </w:numPr>
      <w:tabs>
        <w:tab w:val="left" w:pos="2880"/>
      </w:tabs>
      <w:ind w:left="2880" w:hanging="720"/>
      <w:jc w:val="left"/>
    </w:pPr>
    <w:rPr>
      <w:rFonts w:ascii="宋体" w:eastAsia="宋体"/>
      <w:szCs w:val="21"/>
    </w:rPr>
  </w:style>
  <w:style w:type="character" w:customStyle="1" w:styleId="Char2">
    <w:name w:val="批注框文本 Char"/>
    <w:basedOn w:val="a7"/>
    <w:link w:val="ad"/>
    <w:uiPriority w:val="99"/>
    <w:semiHidden/>
    <w:qFormat/>
    <w:rPr>
      <w:kern w:val="2"/>
      <w:sz w:val="18"/>
      <w:szCs w:val="18"/>
    </w:rPr>
  </w:style>
  <w:style w:type="paragraph" w:styleId="af2">
    <w:name w:val="List Paragraph"/>
    <w:basedOn w:val="a6"/>
    <w:uiPriority w:val="34"/>
    <w:qFormat/>
    <w:pPr>
      <w:ind w:firstLineChars="200" w:firstLine="420"/>
    </w:pPr>
    <w:rPr>
      <w:rFonts w:asciiTheme="minorHAnsi" w:eastAsiaTheme="minorEastAsia" w:hAnsiTheme="minorHAnsi" w:cstheme="minorBidi"/>
    </w:rPr>
  </w:style>
  <w:style w:type="character" w:customStyle="1" w:styleId="Char1">
    <w:name w:val="纯文本 Char1"/>
    <w:basedOn w:val="a7"/>
    <w:link w:val="ac"/>
    <w:rPr>
      <w:rFonts w:ascii="宋体" w:eastAsia="宋体" w:hAnsi="Courier New" w:cs="宋体" w:hint="eastAsia"/>
      <w:kern w:val="2"/>
      <w:sz w:val="21"/>
      <w:szCs w:val="21"/>
      <w:lang w:bidi="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076AF1-C6B2-4252-9903-E79355B43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391</Words>
  <Characters>2234</Characters>
  <Application>Microsoft Office Word</Application>
  <DocSecurity>0</DocSecurity>
  <Lines>18</Lines>
  <Paragraphs>5</Paragraphs>
  <ScaleCrop>false</ScaleCrop>
  <Company>Lenovo (Beijing) Limited</Company>
  <LinksUpToDate>false</LinksUpToDate>
  <CharactersWithSpaces>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赵晓兵</cp:lastModifiedBy>
  <cp:revision>21</cp:revision>
  <cp:lastPrinted>2020-10-08T09:18:00Z</cp:lastPrinted>
  <dcterms:created xsi:type="dcterms:W3CDTF">2022-12-12T06:28:00Z</dcterms:created>
  <dcterms:modified xsi:type="dcterms:W3CDTF">2025-03-08T02:45:00Z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9E0E7CD4130F41E299AA90EEE51487DE</vt:lpwstr>
  </property>
</Properties>
</file>